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0428E" w14:textId="7BF0CE55" w:rsidR="00E25E40" w:rsidRDefault="00A95B87" w:rsidP="00A95B87">
      <w:pPr>
        <w:pStyle w:val="Title"/>
        <w:jc w:val="center"/>
      </w:pPr>
      <w:r w:rsidRPr="00A95B87">
        <w:t>The University of Arizona College of Nursing</w:t>
      </w:r>
    </w:p>
    <w:p w14:paraId="51300FED" w14:textId="723A3A6B" w:rsidR="00EE53C8" w:rsidRDefault="00EE53C8" w:rsidP="00EE53C8">
      <w:pPr>
        <w:pStyle w:val="Heading1"/>
        <w:jc w:val="center"/>
      </w:pPr>
      <w:r>
        <w:t>NURS XXX Course Title</w:t>
      </w:r>
    </w:p>
    <w:p w14:paraId="2A4338EC" w14:textId="51D43B8C" w:rsidR="00EE53C8" w:rsidRDefault="00F0350F" w:rsidP="00EE53C8">
      <w:pPr>
        <w:jc w:val="center"/>
      </w:pPr>
      <w:r>
        <w:t xml:space="preserve">X </w:t>
      </w:r>
      <w:r w:rsidR="00604F2B">
        <w:t>units</w:t>
      </w:r>
      <w:r>
        <w:t xml:space="preserve"> (Y</w:t>
      </w:r>
      <w:r w:rsidR="00EE53C8">
        <w:t xml:space="preserve"> units Lecture, </w:t>
      </w:r>
      <w:r>
        <w:t>Z</w:t>
      </w:r>
      <w:r w:rsidR="00EE53C8">
        <w:t xml:space="preserve"> units Clinical – IND Study</w:t>
      </w:r>
      <w:r>
        <w:t>)</w:t>
      </w:r>
    </w:p>
    <w:p w14:paraId="6688D43E" w14:textId="77777777" w:rsidR="00EE53C8" w:rsidRPr="00EE53C8" w:rsidRDefault="00EE53C8" w:rsidP="00EE53C8"/>
    <w:p w14:paraId="3513ABD9" w14:textId="0A274EAD" w:rsidR="00337542" w:rsidRDefault="00EE53C8" w:rsidP="00337542">
      <w:pPr>
        <w:pStyle w:val="Heading2"/>
      </w:pPr>
      <w:r w:rsidRPr="00EE53C8">
        <w:t>Course Prerequisites or Co-requisites</w:t>
      </w:r>
    </w:p>
    <w:p w14:paraId="0C5AF2D2" w14:textId="2101E6BE" w:rsidR="00A95B87" w:rsidRDefault="00A95B87" w:rsidP="00A95B87">
      <w:r>
        <w:t>Insert text</w:t>
      </w:r>
    </w:p>
    <w:p w14:paraId="1B73916A" w14:textId="657F5AA0" w:rsidR="00A95B87" w:rsidRDefault="00A95B87" w:rsidP="00C5645B">
      <w:pPr>
        <w:pStyle w:val="Heading2"/>
      </w:pPr>
      <w:r>
        <w:t>Instructor</w:t>
      </w:r>
      <w:r w:rsidR="001F1A1B">
        <w:t>s</w:t>
      </w:r>
    </w:p>
    <w:p w14:paraId="403A846B" w14:textId="6C5D8375" w:rsidR="001F1A1B" w:rsidRPr="001F1A1B" w:rsidRDefault="001F1A1B" w:rsidP="000A2EA4">
      <w:pPr>
        <w:pStyle w:val="Heading3"/>
      </w:pPr>
      <w:bookmarkStart w:id="0" w:name="OLE_LINK152"/>
      <w:bookmarkStart w:id="1" w:name="OLE_LINK124"/>
      <w:r>
        <w:t xml:space="preserve">Insert </w:t>
      </w:r>
      <w:r w:rsidR="00ED1EA5">
        <w:t>n</w:t>
      </w:r>
      <w:r>
        <w:t>ame</w:t>
      </w:r>
      <w:r w:rsidR="00ED1EA5">
        <w:t xml:space="preserve">, credentials </w:t>
      </w:r>
      <w:r w:rsidR="00BE1547">
        <w:t>(</w:t>
      </w:r>
      <w:r w:rsidR="00ED1EA5">
        <w:t xml:space="preserve">role in class </w:t>
      </w:r>
      <w:r w:rsidR="00BE1547">
        <w:t xml:space="preserve">– </w:t>
      </w:r>
      <w:r w:rsidR="00ED1EA5">
        <w:t>Chair, Co-Chair, Faculty, etc.)</w:t>
      </w:r>
      <w:bookmarkEnd w:id="0"/>
    </w:p>
    <w:p w14:paraId="48C82E45" w14:textId="0803DF93" w:rsidR="009D22E8" w:rsidRDefault="009D22E8" w:rsidP="009D22E8">
      <w:pPr>
        <w:pStyle w:val="ListParagraph"/>
      </w:pPr>
      <w:bookmarkStart w:id="2" w:name="OLE_LINK123"/>
      <w:bookmarkEnd w:id="1"/>
      <w:r>
        <w:t>Insert title</w:t>
      </w:r>
    </w:p>
    <w:p w14:paraId="4169B65A" w14:textId="780A9377" w:rsidR="00A87F48" w:rsidRDefault="00A87F48" w:rsidP="009D22E8">
      <w:pPr>
        <w:pStyle w:val="ListParagraph"/>
      </w:pPr>
      <w:r>
        <w:t>Office: Nursing Rm xxx</w:t>
      </w:r>
    </w:p>
    <w:p w14:paraId="509DCF9A" w14:textId="69FDA968" w:rsidR="00A87F48" w:rsidRDefault="00A87F48" w:rsidP="009D22E8">
      <w:pPr>
        <w:pStyle w:val="ListParagraph"/>
      </w:pPr>
      <w:r>
        <w:t xml:space="preserve">Email: </w:t>
      </w:r>
    </w:p>
    <w:p w14:paraId="4358E568" w14:textId="0BD672ED" w:rsidR="00ED1EA5" w:rsidRDefault="00ED1EA5" w:rsidP="009D22E8">
      <w:pPr>
        <w:pStyle w:val="ListParagraph"/>
      </w:pPr>
      <w:r>
        <w:t xml:space="preserve">Office Hours: </w:t>
      </w:r>
    </w:p>
    <w:p w14:paraId="3D03A685" w14:textId="373B5D8A" w:rsidR="00ED1EA5" w:rsidRDefault="00ED1EA5" w:rsidP="009D22E8">
      <w:pPr>
        <w:pStyle w:val="ListParagraph"/>
      </w:pPr>
      <w:r w:rsidRPr="00ED1EA5">
        <w:t>Email is the best way to contact me. I will generally respond within 24 hours.</w:t>
      </w:r>
    </w:p>
    <w:bookmarkEnd w:id="2"/>
    <w:p w14:paraId="33F94D03" w14:textId="1768698F" w:rsidR="00ED1EA5" w:rsidRPr="00ED1EA5" w:rsidRDefault="00BE1547" w:rsidP="000A2EA4">
      <w:pPr>
        <w:pStyle w:val="Heading3"/>
      </w:pPr>
      <w:r w:rsidRPr="00BE1547">
        <w:t>Insert name, credentials (role in class – Chair, Co-Chair, Faculty, etc.)</w:t>
      </w:r>
    </w:p>
    <w:p w14:paraId="4140CE8B" w14:textId="77777777" w:rsidR="00ED1EA5" w:rsidRDefault="00ED1EA5" w:rsidP="00ED1EA5">
      <w:pPr>
        <w:pStyle w:val="ListParagraph"/>
      </w:pPr>
      <w:r>
        <w:t>Insert title</w:t>
      </w:r>
    </w:p>
    <w:p w14:paraId="6E407D24" w14:textId="77777777" w:rsidR="00ED1EA5" w:rsidRDefault="00ED1EA5" w:rsidP="00ED1EA5">
      <w:pPr>
        <w:pStyle w:val="ListParagraph"/>
      </w:pPr>
      <w:r>
        <w:t>Office: Nursing Rm xxx</w:t>
      </w:r>
    </w:p>
    <w:p w14:paraId="3B0DB554" w14:textId="77777777" w:rsidR="00ED1EA5" w:rsidRDefault="00ED1EA5" w:rsidP="00ED1EA5">
      <w:pPr>
        <w:pStyle w:val="ListParagraph"/>
      </w:pPr>
      <w:r>
        <w:t xml:space="preserve">Email: </w:t>
      </w:r>
    </w:p>
    <w:p w14:paraId="17F23D0C" w14:textId="77777777" w:rsidR="00ED1EA5" w:rsidRDefault="00ED1EA5" w:rsidP="00ED1EA5">
      <w:pPr>
        <w:pStyle w:val="ListParagraph"/>
      </w:pPr>
      <w:r>
        <w:t xml:space="preserve">Office Hours: </w:t>
      </w:r>
    </w:p>
    <w:p w14:paraId="431CAD8E" w14:textId="77777777" w:rsidR="00ED1EA5" w:rsidRDefault="00ED1EA5" w:rsidP="00ED1EA5">
      <w:pPr>
        <w:pStyle w:val="ListParagraph"/>
      </w:pPr>
      <w:r w:rsidRPr="00ED1EA5">
        <w:t>Email is the best way to contact me. I will generally respond within 24 hours.</w:t>
      </w:r>
    </w:p>
    <w:p w14:paraId="17FF9E55" w14:textId="77777777" w:rsidR="001F1A1B" w:rsidRPr="00C5645B" w:rsidRDefault="001F1A1B" w:rsidP="001F1A1B">
      <w:pPr>
        <w:pStyle w:val="Notes"/>
      </w:pPr>
      <w:r w:rsidRPr="00C5645B">
        <w:t>For courses which are team taught, list course chair/ co-chairs and faculty team members</w:t>
      </w:r>
    </w:p>
    <w:p w14:paraId="3CA1544D" w14:textId="77777777" w:rsidR="001F1A1B" w:rsidRDefault="001F1A1B" w:rsidP="001F1A1B">
      <w:pPr>
        <w:pStyle w:val="Heading3"/>
      </w:pPr>
      <w:r>
        <w:t>Additional Instructors</w:t>
      </w:r>
    </w:p>
    <w:p w14:paraId="142BE1E5" w14:textId="77777777" w:rsidR="001F1A1B" w:rsidRPr="00507056" w:rsidRDefault="001F1A1B" w:rsidP="001F1A1B">
      <w:r w:rsidRPr="00507056">
        <w:t>Please see D2L course site for list of assisting clinical faculty.</w:t>
      </w:r>
    </w:p>
    <w:p w14:paraId="5FF1EB22" w14:textId="3CFE35FA" w:rsidR="00C5645B" w:rsidRPr="00C5645B" w:rsidRDefault="00C5645B" w:rsidP="00C5645B">
      <w:pPr>
        <w:pStyle w:val="Heading2"/>
      </w:pPr>
      <w:r w:rsidRPr="00C5645B">
        <w:t>University of Arizona Indigenous Land Acknowledgement</w:t>
      </w:r>
    </w:p>
    <w:p w14:paraId="3B3C728A" w14:textId="6F60FA19" w:rsidR="004F7525" w:rsidRPr="004F7525" w:rsidRDefault="00190353" w:rsidP="004F7525">
      <w:r w:rsidRPr="00190353">
        <w:rPr>
          <w:i/>
          <w:iCs/>
        </w:rPr>
        <w:t>We respectfully acknowledge the University of Arizona is on the land and territories of Indigenous peoples. Today, Arizona is home to 22 federally recognized tribes, with Tucson being home to the O’odham and the Yaqui. The University strives to build sustainable relationships with sovereign Native Nations and Indigenous communities through education offerings, partnerships, and community service.</w:t>
      </w:r>
    </w:p>
    <w:p w14:paraId="606CCFE6" w14:textId="74599606" w:rsidR="00C5645B" w:rsidRPr="00C5645B" w:rsidRDefault="00C5645B" w:rsidP="00C5645B">
      <w:pPr>
        <w:pStyle w:val="Heading2"/>
      </w:pPr>
      <w:r w:rsidRPr="00C5645B">
        <w:lastRenderedPageBreak/>
        <w:t>Course Description</w:t>
      </w:r>
    </w:p>
    <w:p w14:paraId="49708871" w14:textId="77777777" w:rsidR="00C5645B" w:rsidRPr="00C5645B" w:rsidRDefault="00C5645B" w:rsidP="00C5645B">
      <w:pPr>
        <w:rPr>
          <w:i/>
        </w:rPr>
      </w:pPr>
      <w:r w:rsidRPr="00C5645B">
        <w:t>Insert text</w:t>
      </w:r>
    </w:p>
    <w:p w14:paraId="7D2F2160" w14:textId="7AE417F0" w:rsidR="00C5645B" w:rsidRPr="00C5645B" w:rsidRDefault="001910CA" w:rsidP="00C5645B">
      <w:pPr>
        <w:pStyle w:val="Notes"/>
      </w:pPr>
      <w:r>
        <w:t>Must mirror what is accessible to students</w:t>
      </w:r>
      <w:r w:rsidR="00C5645B" w:rsidRPr="00C5645B">
        <w:t xml:space="preserve"> in University Catalog (UAccess)</w:t>
      </w:r>
      <w:r>
        <w:t>.</w:t>
      </w:r>
      <w:r w:rsidR="00C5645B" w:rsidRPr="00C5645B">
        <w:t xml:space="preserve"> </w:t>
      </w:r>
    </w:p>
    <w:p w14:paraId="3A26A499" w14:textId="77777777" w:rsidR="00C5645B" w:rsidRPr="00C5645B" w:rsidRDefault="00C5645B" w:rsidP="00C5645B">
      <w:pPr>
        <w:pStyle w:val="Notes"/>
      </w:pPr>
      <w:bookmarkStart w:id="3" w:name="_Hlk71722903"/>
      <w:r w:rsidRPr="00C5645B">
        <w:t xml:space="preserve">If the course includes a clinical (practicum) component, the following statement </w:t>
      </w:r>
      <w:bookmarkStart w:id="4" w:name="_Hlk73637016"/>
      <w:r w:rsidRPr="00C5645B">
        <w:t>must be included under the description not a part of the description</w:t>
      </w:r>
      <w:bookmarkEnd w:id="4"/>
      <w:r w:rsidRPr="00C5645B">
        <w:t>:</w:t>
      </w:r>
    </w:p>
    <w:p w14:paraId="778555F3" w14:textId="4CFFFF46" w:rsidR="00C5645B" w:rsidRPr="00C5645B" w:rsidRDefault="00C5645B" w:rsidP="00C5645B">
      <w:bookmarkStart w:id="5" w:name="_Hlk71709920"/>
      <w:r w:rsidRPr="00C5645B">
        <w:rPr>
          <w:i/>
        </w:rPr>
        <w:t xml:space="preserve">Note: This course includes </w:t>
      </w:r>
      <w:r w:rsidRPr="00C5645B">
        <w:rPr>
          <w:b/>
          <w:i/>
        </w:rPr>
        <w:t>XX</w:t>
      </w:r>
      <w:r w:rsidRPr="00C5645B">
        <w:rPr>
          <w:i/>
        </w:rPr>
        <w:t xml:space="preserve"> clinical/practicum hours. This is the independent study (IND) component of this course. Students are expected to complete these hours through a combination of simulation, skill acquisition, and community-based clinical immersion.</w:t>
      </w:r>
      <w:bookmarkEnd w:id="3"/>
      <w:bookmarkEnd w:id="5"/>
    </w:p>
    <w:p w14:paraId="216DEA7C" w14:textId="628C4C5A" w:rsidR="00C5645B" w:rsidRDefault="00337542" w:rsidP="00337542">
      <w:pPr>
        <w:pStyle w:val="Heading2"/>
      </w:pPr>
      <w:r>
        <w:t>Course Format and Teaching Methods</w:t>
      </w:r>
    </w:p>
    <w:p w14:paraId="3B5A0CC3" w14:textId="0D39C647" w:rsidR="00337542" w:rsidRDefault="00337542" w:rsidP="00A95B87">
      <w:r>
        <w:t>Insert text</w:t>
      </w:r>
    </w:p>
    <w:p w14:paraId="3B8647DA" w14:textId="77777777" w:rsidR="00C1383C" w:rsidRDefault="00C1383C" w:rsidP="00C1383C">
      <w:pPr>
        <w:pStyle w:val="Heading2"/>
      </w:pPr>
      <w:r>
        <w:t>Course Objectives</w:t>
      </w:r>
    </w:p>
    <w:p w14:paraId="297F4E63" w14:textId="77777777" w:rsidR="00C1383C" w:rsidRDefault="00C1383C" w:rsidP="00C1383C">
      <w:r>
        <w:t xml:space="preserve">During </w:t>
      </w:r>
      <w:r w:rsidRPr="00337542">
        <w:t>this course, students will:</w:t>
      </w:r>
    </w:p>
    <w:p w14:paraId="13EEFDCA" w14:textId="77777777" w:rsidR="00C1383C" w:rsidRDefault="00C1383C" w:rsidP="00C1383C">
      <w:pPr>
        <w:pStyle w:val="ListParagraph"/>
        <w:numPr>
          <w:ilvl w:val="0"/>
          <w:numId w:val="3"/>
        </w:numPr>
      </w:pPr>
      <w:r>
        <w:t>Insert text</w:t>
      </w:r>
    </w:p>
    <w:p w14:paraId="1C29C20A" w14:textId="77777777" w:rsidR="00C1383C" w:rsidRDefault="00C1383C" w:rsidP="00C1383C">
      <w:pPr>
        <w:pStyle w:val="ListParagraph"/>
        <w:numPr>
          <w:ilvl w:val="0"/>
          <w:numId w:val="3"/>
        </w:numPr>
      </w:pPr>
      <w:r>
        <w:t>Insert text</w:t>
      </w:r>
    </w:p>
    <w:p w14:paraId="144A085A" w14:textId="1916D659" w:rsidR="00C1383C" w:rsidRDefault="00C1383C" w:rsidP="00C1383C">
      <w:pPr>
        <w:pStyle w:val="ListParagraph"/>
        <w:numPr>
          <w:ilvl w:val="0"/>
          <w:numId w:val="3"/>
        </w:numPr>
      </w:pPr>
      <w:r>
        <w:t>Insert text</w:t>
      </w:r>
    </w:p>
    <w:p w14:paraId="5D0F26D1" w14:textId="3E81757E" w:rsidR="00337542" w:rsidRDefault="00593B16" w:rsidP="00337542">
      <w:pPr>
        <w:pStyle w:val="Heading2"/>
      </w:pPr>
      <w:r>
        <w:t>Student</w:t>
      </w:r>
      <w:r w:rsidR="00337542">
        <w:t xml:space="preserve"> Learning Outcomes</w:t>
      </w:r>
    </w:p>
    <w:p w14:paraId="2935C528" w14:textId="380C1D45" w:rsidR="00337542" w:rsidRDefault="00337542" w:rsidP="00A95B87">
      <w:r w:rsidRPr="00337542">
        <w:t>Upon completion of this course, students will be able to:</w:t>
      </w:r>
    </w:p>
    <w:p w14:paraId="76F4A69A" w14:textId="77777777" w:rsidR="00337542" w:rsidRDefault="00337542" w:rsidP="00C1383C">
      <w:pPr>
        <w:pStyle w:val="ListParagraph"/>
        <w:numPr>
          <w:ilvl w:val="0"/>
          <w:numId w:val="19"/>
        </w:numPr>
      </w:pPr>
      <w:r>
        <w:t>Insert text</w:t>
      </w:r>
    </w:p>
    <w:p w14:paraId="22A857CF" w14:textId="77777777" w:rsidR="00337542" w:rsidRDefault="00337542" w:rsidP="00C1383C">
      <w:pPr>
        <w:pStyle w:val="ListParagraph"/>
        <w:numPr>
          <w:ilvl w:val="0"/>
          <w:numId w:val="19"/>
        </w:numPr>
      </w:pPr>
      <w:r>
        <w:t>Insert text</w:t>
      </w:r>
    </w:p>
    <w:p w14:paraId="430D68BF" w14:textId="40F3498D" w:rsidR="00593B16" w:rsidRDefault="00337542" w:rsidP="00C1383C">
      <w:pPr>
        <w:pStyle w:val="ListParagraph"/>
        <w:numPr>
          <w:ilvl w:val="0"/>
          <w:numId w:val="19"/>
        </w:numPr>
      </w:pPr>
      <w:r>
        <w:t>Insert text</w:t>
      </w:r>
    </w:p>
    <w:p w14:paraId="69DB0678" w14:textId="77777777" w:rsidR="00E374BB" w:rsidRDefault="00E374BB" w:rsidP="00E374BB">
      <w:pPr>
        <w:pStyle w:val="Heading2"/>
      </w:pPr>
      <w:bookmarkStart w:id="6" w:name="OLE_LINK35"/>
      <w:bookmarkStart w:id="7" w:name="_Hlk173817336"/>
      <w:r w:rsidRPr="00B76EE9">
        <w:t>Required Texts and Readings</w:t>
      </w:r>
    </w:p>
    <w:p w14:paraId="12942C46" w14:textId="77777777" w:rsidR="00E374BB" w:rsidRDefault="00E374BB" w:rsidP="00E374BB">
      <w:pPr>
        <w:pStyle w:val="ListParagraph"/>
        <w:numPr>
          <w:ilvl w:val="0"/>
          <w:numId w:val="4"/>
        </w:numPr>
      </w:pPr>
      <w:r>
        <w:t>Required textbooks/readings</w:t>
      </w:r>
    </w:p>
    <w:bookmarkEnd w:id="6"/>
    <w:p w14:paraId="63B3C346" w14:textId="77777777" w:rsidR="00E374BB" w:rsidRDefault="00E374BB" w:rsidP="00E374BB">
      <w:pPr>
        <w:pStyle w:val="Heading2"/>
      </w:pPr>
      <w:r>
        <w:t>Required or Special Materials</w:t>
      </w:r>
    </w:p>
    <w:p w14:paraId="0257456D" w14:textId="77777777" w:rsidR="00E374BB" w:rsidRDefault="00E374BB" w:rsidP="00E374BB">
      <w:pPr>
        <w:pStyle w:val="ListParagraph"/>
        <w:numPr>
          <w:ilvl w:val="0"/>
          <w:numId w:val="5"/>
        </w:numPr>
      </w:pPr>
      <w:r>
        <w:t>Required software</w:t>
      </w:r>
    </w:p>
    <w:p w14:paraId="21774EE3" w14:textId="690F16C6" w:rsidR="0034797A" w:rsidRDefault="00E374BB" w:rsidP="00E374BB">
      <w:pPr>
        <w:pStyle w:val="ListParagraph"/>
        <w:numPr>
          <w:ilvl w:val="0"/>
          <w:numId w:val="5"/>
        </w:numPr>
      </w:pPr>
      <w:r>
        <w:t>Required course materials</w:t>
      </w:r>
    </w:p>
    <w:p w14:paraId="72505F9B" w14:textId="77777777" w:rsidR="00E374BB" w:rsidRDefault="00E374BB" w:rsidP="00E374BB">
      <w:pPr>
        <w:pStyle w:val="Heading2"/>
      </w:pPr>
      <w:r>
        <w:t>Recommended Course Materials</w:t>
      </w:r>
    </w:p>
    <w:p w14:paraId="044F53D9" w14:textId="188DE2C8" w:rsidR="00E374BB" w:rsidRDefault="00E374BB" w:rsidP="00E374BB">
      <w:pPr>
        <w:pStyle w:val="ListParagraph"/>
        <w:numPr>
          <w:ilvl w:val="0"/>
          <w:numId w:val="4"/>
        </w:numPr>
      </w:pPr>
      <w:r>
        <w:t>Recommended textbooks/readings</w:t>
      </w:r>
      <w:bookmarkEnd w:id="7"/>
    </w:p>
    <w:p w14:paraId="6B6F37BF" w14:textId="7E17B6C3" w:rsidR="0034797A" w:rsidRDefault="00887128" w:rsidP="00887128">
      <w:pPr>
        <w:pStyle w:val="Heading2"/>
      </w:pPr>
      <w:bookmarkStart w:id="8" w:name="_Hlk167446951"/>
      <w:r w:rsidRPr="00887128">
        <w:lastRenderedPageBreak/>
        <w:t>Schedul</w:t>
      </w:r>
      <w:r w:rsidR="0045241F">
        <w:t>e of</w:t>
      </w:r>
      <w:r w:rsidRPr="00887128">
        <w:t xml:space="preserve"> Topics</w:t>
      </w:r>
      <w:r>
        <w:t xml:space="preserve"> and </w:t>
      </w:r>
      <w:r w:rsidRPr="00887128">
        <w:t>Activities</w:t>
      </w:r>
      <w:bookmarkEnd w:id="8"/>
    </w:p>
    <w:tbl>
      <w:tblPr>
        <w:tblStyle w:val="TableGrid"/>
        <w:tblW w:w="0" w:type="auto"/>
        <w:tblLook w:val="04A0" w:firstRow="1" w:lastRow="0" w:firstColumn="1" w:lastColumn="0" w:noHBand="0" w:noVBand="1"/>
      </w:tblPr>
      <w:tblGrid>
        <w:gridCol w:w="1615"/>
        <w:gridCol w:w="4950"/>
        <w:gridCol w:w="2785"/>
      </w:tblGrid>
      <w:tr w:rsidR="0034797A" w14:paraId="6C19C81D" w14:textId="77777777" w:rsidTr="00B5460A">
        <w:trPr>
          <w:tblHeader/>
        </w:trPr>
        <w:tc>
          <w:tcPr>
            <w:tcW w:w="1615" w:type="dxa"/>
            <w:shd w:val="clear" w:color="auto" w:fill="AB0420"/>
          </w:tcPr>
          <w:p w14:paraId="694B99E3" w14:textId="0409461F" w:rsidR="0034797A" w:rsidRDefault="0034797A" w:rsidP="0013177C">
            <w:pPr>
              <w:pStyle w:val="TableH4"/>
            </w:pPr>
            <w:r>
              <w:t>Module Week</w:t>
            </w:r>
          </w:p>
        </w:tc>
        <w:tc>
          <w:tcPr>
            <w:tcW w:w="4950" w:type="dxa"/>
            <w:shd w:val="clear" w:color="auto" w:fill="AB0420"/>
          </w:tcPr>
          <w:p w14:paraId="145B8F68" w14:textId="4C229118" w:rsidR="0034797A" w:rsidRDefault="0034797A" w:rsidP="0013177C">
            <w:pPr>
              <w:pStyle w:val="TableH4"/>
            </w:pPr>
            <w:r>
              <w:t>Module Title</w:t>
            </w:r>
            <w:r w:rsidR="00622F81">
              <w:t xml:space="preserve"> / Topics</w:t>
            </w:r>
          </w:p>
        </w:tc>
        <w:tc>
          <w:tcPr>
            <w:tcW w:w="2785" w:type="dxa"/>
            <w:shd w:val="clear" w:color="auto" w:fill="AB0420"/>
          </w:tcPr>
          <w:p w14:paraId="17993883" w14:textId="15DFC881" w:rsidR="0034797A" w:rsidRDefault="0034797A" w:rsidP="0013177C">
            <w:pPr>
              <w:pStyle w:val="TableH4"/>
            </w:pPr>
            <w:r>
              <w:t>Student Activity*</w:t>
            </w:r>
          </w:p>
        </w:tc>
      </w:tr>
      <w:tr w:rsidR="0034797A" w14:paraId="3FA28EAD" w14:textId="77777777" w:rsidTr="00317037">
        <w:tc>
          <w:tcPr>
            <w:tcW w:w="1615" w:type="dxa"/>
          </w:tcPr>
          <w:p w14:paraId="341EE829" w14:textId="6E4D54FA" w:rsidR="0034797A" w:rsidRDefault="00317037" w:rsidP="0034797A">
            <w:r>
              <w:t>Week 1</w:t>
            </w:r>
          </w:p>
        </w:tc>
        <w:tc>
          <w:tcPr>
            <w:tcW w:w="4950" w:type="dxa"/>
          </w:tcPr>
          <w:p w14:paraId="2D48A526" w14:textId="77777777" w:rsidR="00317037" w:rsidRDefault="00317037" w:rsidP="00317037">
            <w:r>
              <w:t xml:space="preserve">Common Illness of the Head/Eyes/Ears/Nose/Throat </w:t>
            </w:r>
          </w:p>
          <w:p w14:paraId="20BD4ED4" w14:textId="56F47EB4" w:rsidR="0034797A" w:rsidRDefault="00317037" w:rsidP="00317037">
            <w:r>
              <w:t xml:space="preserve">Genetic/Congenital Anomalies  </w:t>
            </w:r>
          </w:p>
        </w:tc>
        <w:tc>
          <w:tcPr>
            <w:tcW w:w="2785" w:type="dxa"/>
          </w:tcPr>
          <w:p w14:paraId="390BCD5B" w14:textId="1AC01332" w:rsidR="00317037" w:rsidRDefault="00317037" w:rsidP="00317037">
            <w:pPr>
              <w:tabs>
                <w:tab w:val="left" w:pos="476"/>
              </w:tabs>
            </w:pPr>
            <w:r>
              <w:t>Discussion</w:t>
            </w:r>
          </w:p>
          <w:p w14:paraId="1985DE01" w14:textId="14D1EF28" w:rsidR="00317037" w:rsidRPr="00317037" w:rsidRDefault="00317037" w:rsidP="00317037">
            <w:pPr>
              <w:tabs>
                <w:tab w:val="left" w:pos="476"/>
              </w:tabs>
            </w:pPr>
            <w:r>
              <w:t>Concept Analysis</w:t>
            </w:r>
          </w:p>
        </w:tc>
      </w:tr>
      <w:tr w:rsidR="0034797A" w14:paraId="2434C14A" w14:textId="77777777" w:rsidTr="00317037">
        <w:tc>
          <w:tcPr>
            <w:tcW w:w="1615" w:type="dxa"/>
          </w:tcPr>
          <w:p w14:paraId="5A48532B" w14:textId="6CC4027E" w:rsidR="0034797A" w:rsidRDefault="00317037" w:rsidP="0034797A">
            <w:r>
              <w:t>Week 2</w:t>
            </w:r>
          </w:p>
        </w:tc>
        <w:tc>
          <w:tcPr>
            <w:tcW w:w="4950" w:type="dxa"/>
          </w:tcPr>
          <w:p w14:paraId="23AB8E09" w14:textId="2B685DA4" w:rsidR="0034797A" w:rsidRDefault="00317037" w:rsidP="0034797A">
            <w:r w:rsidRPr="00317037">
              <w:t>Common Illness of the Pulmonary System including Asthma</w:t>
            </w:r>
          </w:p>
        </w:tc>
        <w:tc>
          <w:tcPr>
            <w:tcW w:w="2785" w:type="dxa"/>
          </w:tcPr>
          <w:p w14:paraId="0774BAF3" w14:textId="42B44294" w:rsidR="0034797A" w:rsidRDefault="00317037" w:rsidP="0034797A">
            <w:r w:rsidRPr="00317037">
              <w:t>Discussion, Concept Analysis, Synthesis Paper</w:t>
            </w:r>
          </w:p>
        </w:tc>
      </w:tr>
    </w:tbl>
    <w:p w14:paraId="0A7986A6" w14:textId="7087295F" w:rsidR="0034797A" w:rsidRDefault="008F29F6" w:rsidP="0034797A">
      <w:r w:rsidRPr="00B46557">
        <w:rPr>
          <w:b/>
          <w:bCs/>
        </w:rPr>
        <w:t>*</w:t>
      </w:r>
      <w:r w:rsidRPr="00B46557">
        <w:t>See Evaluation Methods page in D2L for details about course activities, assignments, exams, etc</w:t>
      </w:r>
      <w:r w:rsidRPr="00B46557">
        <w:rPr>
          <w:b/>
          <w:bCs/>
        </w:rPr>
        <w:t>.</w:t>
      </w:r>
    </w:p>
    <w:p w14:paraId="75775332" w14:textId="4FE65D7B" w:rsidR="0034797A" w:rsidRDefault="0034797A" w:rsidP="00534E73">
      <w:pPr>
        <w:pStyle w:val="Heading3"/>
      </w:pPr>
      <w:r>
        <w:t>Required Lab/Clinical Schedule</w:t>
      </w:r>
    </w:p>
    <w:p w14:paraId="539D1E42" w14:textId="407AB2EF" w:rsidR="0034797A" w:rsidRDefault="0034797A" w:rsidP="0034797A">
      <w:r>
        <w:t>Insert text</w:t>
      </w:r>
    </w:p>
    <w:p w14:paraId="3E2F4BE6" w14:textId="59ADBFF4" w:rsidR="0034797A" w:rsidRDefault="0034797A" w:rsidP="00534E73">
      <w:pPr>
        <w:pStyle w:val="Heading3"/>
      </w:pPr>
      <w:r>
        <w:t>Final Examination</w:t>
      </w:r>
      <w:r w:rsidR="00887128">
        <w:t xml:space="preserve"> or Project</w:t>
      </w:r>
    </w:p>
    <w:p w14:paraId="6D70F043" w14:textId="5750BA91" w:rsidR="0034797A" w:rsidRPr="00932CFC" w:rsidRDefault="0034797A" w:rsidP="0034797A">
      <w:r w:rsidRPr="00932CFC">
        <w:t>Final Exam</w:t>
      </w:r>
      <w:r w:rsidR="00887128">
        <w:t xml:space="preserve"> or </w:t>
      </w:r>
      <w:r>
        <w:t>Project</w:t>
      </w:r>
      <w:r w:rsidRPr="00932CFC">
        <w:t xml:space="preserve"> information will be posted </w:t>
      </w:r>
      <w:proofErr w:type="gramStart"/>
      <w:r w:rsidRPr="00932CFC">
        <w:t>in</w:t>
      </w:r>
      <w:proofErr w:type="gramEnd"/>
      <w:r w:rsidRPr="00932CFC">
        <w:t xml:space="preserve"> the D2L Course site.</w:t>
      </w:r>
    </w:p>
    <w:p w14:paraId="2628AAFC" w14:textId="7A7B9141" w:rsidR="0034797A" w:rsidRPr="0034797A" w:rsidRDefault="0034797A" w:rsidP="0034797A">
      <w:pPr>
        <w:pStyle w:val="ListParagraph"/>
        <w:numPr>
          <w:ilvl w:val="0"/>
          <w:numId w:val="5"/>
        </w:numPr>
        <w:rPr>
          <w:rStyle w:val="Hyperlink"/>
          <w:color w:val="auto"/>
          <w:u w:val="none"/>
        </w:rPr>
      </w:pPr>
      <w:hyperlink r:id="rId7" w:history="1">
        <w:r>
          <w:rPr>
            <w:rStyle w:val="Hyperlink"/>
          </w:rPr>
          <w:t>Final Exam Schedule and Regulations</w:t>
        </w:r>
      </w:hyperlink>
    </w:p>
    <w:p w14:paraId="7180584E" w14:textId="60A03BB8" w:rsidR="0034797A" w:rsidRDefault="00624708" w:rsidP="00534E73">
      <w:pPr>
        <w:pStyle w:val="Heading2"/>
      </w:pPr>
      <w:r>
        <w:t>Grade Scale and Policies</w:t>
      </w:r>
    </w:p>
    <w:p w14:paraId="37E262BC" w14:textId="4FF78BE9" w:rsidR="00534E73" w:rsidRDefault="00534E73" w:rsidP="0034797A">
      <w:r w:rsidRPr="00534E73">
        <w:t>The grade for the course will be determined by the following scale:</w:t>
      </w:r>
    </w:p>
    <w:tbl>
      <w:tblPr>
        <w:tblStyle w:val="TableGrid"/>
        <w:tblW w:w="0" w:type="auto"/>
        <w:tblLook w:val="04A0" w:firstRow="1" w:lastRow="0" w:firstColumn="1" w:lastColumn="0" w:noHBand="0" w:noVBand="1"/>
      </w:tblPr>
      <w:tblGrid>
        <w:gridCol w:w="1525"/>
        <w:gridCol w:w="1620"/>
      </w:tblGrid>
      <w:tr w:rsidR="009715C2" w14:paraId="21EB7456" w14:textId="77777777" w:rsidTr="00991210">
        <w:tc>
          <w:tcPr>
            <w:tcW w:w="1525" w:type="dxa"/>
            <w:shd w:val="clear" w:color="auto" w:fill="AB0420"/>
          </w:tcPr>
          <w:p w14:paraId="203E1959" w14:textId="77777777" w:rsidR="009715C2" w:rsidRDefault="009715C2" w:rsidP="00991210">
            <w:pPr>
              <w:pStyle w:val="TableH4"/>
              <w:jc w:val="center"/>
            </w:pPr>
            <w:r>
              <w:t>Letter Grade</w:t>
            </w:r>
          </w:p>
        </w:tc>
        <w:tc>
          <w:tcPr>
            <w:tcW w:w="1620" w:type="dxa"/>
            <w:shd w:val="clear" w:color="auto" w:fill="AB0420"/>
          </w:tcPr>
          <w:p w14:paraId="095F23C2" w14:textId="77777777" w:rsidR="009715C2" w:rsidRDefault="009715C2" w:rsidP="00991210">
            <w:pPr>
              <w:pStyle w:val="TableH4"/>
              <w:jc w:val="center"/>
            </w:pPr>
            <w:r>
              <w:t>Percentage</w:t>
            </w:r>
          </w:p>
        </w:tc>
      </w:tr>
      <w:tr w:rsidR="009715C2" w14:paraId="6B39450C" w14:textId="77777777" w:rsidTr="00991210">
        <w:tc>
          <w:tcPr>
            <w:tcW w:w="1525" w:type="dxa"/>
          </w:tcPr>
          <w:p w14:paraId="60DADD2F" w14:textId="77777777" w:rsidR="009715C2" w:rsidRDefault="009715C2" w:rsidP="00991210">
            <w:pPr>
              <w:spacing w:after="0"/>
              <w:jc w:val="center"/>
            </w:pPr>
            <w:r>
              <w:t>A</w:t>
            </w:r>
          </w:p>
        </w:tc>
        <w:tc>
          <w:tcPr>
            <w:tcW w:w="1620" w:type="dxa"/>
          </w:tcPr>
          <w:p w14:paraId="47643B07" w14:textId="77777777" w:rsidR="009715C2" w:rsidRDefault="009715C2" w:rsidP="00991210">
            <w:pPr>
              <w:spacing w:after="0"/>
              <w:jc w:val="center"/>
            </w:pPr>
            <w:r>
              <w:t>90-100%</w:t>
            </w:r>
          </w:p>
        </w:tc>
      </w:tr>
      <w:tr w:rsidR="009715C2" w14:paraId="61CA2A4F" w14:textId="77777777" w:rsidTr="00991210">
        <w:tc>
          <w:tcPr>
            <w:tcW w:w="1525" w:type="dxa"/>
          </w:tcPr>
          <w:p w14:paraId="0F1ABE78" w14:textId="77777777" w:rsidR="009715C2" w:rsidRDefault="009715C2" w:rsidP="00991210">
            <w:pPr>
              <w:spacing w:after="0"/>
              <w:jc w:val="center"/>
            </w:pPr>
            <w:r>
              <w:t>B</w:t>
            </w:r>
          </w:p>
        </w:tc>
        <w:tc>
          <w:tcPr>
            <w:tcW w:w="1620" w:type="dxa"/>
          </w:tcPr>
          <w:p w14:paraId="1009C4A8" w14:textId="77777777" w:rsidR="009715C2" w:rsidRDefault="009715C2" w:rsidP="00991210">
            <w:pPr>
              <w:spacing w:after="0"/>
              <w:jc w:val="center"/>
            </w:pPr>
            <w:r>
              <w:t>80-89%</w:t>
            </w:r>
          </w:p>
        </w:tc>
      </w:tr>
      <w:tr w:rsidR="009715C2" w14:paraId="5E0A5D25" w14:textId="77777777" w:rsidTr="00991210">
        <w:tc>
          <w:tcPr>
            <w:tcW w:w="1525" w:type="dxa"/>
          </w:tcPr>
          <w:p w14:paraId="23C60B44" w14:textId="77777777" w:rsidR="009715C2" w:rsidRDefault="009715C2" w:rsidP="00991210">
            <w:pPr>
              <w:spacing w:after="0"/>
              <w:jc w:val="center"/>
            </w:pPr>
            <w:r>
              <w:t>C</w:t>
            </w:r>
          </w:p>
        </w:tc>
        <w:tc>
          <w:tcPr>
            <w:tcW w:w="1620" w:type="dxa"/>
          </w:tcPr>
          <w:p w14:paraId="7FAAFF20" w14:textId="77777777" w:rsidR="009715C2" w:rsidRDefault="009715C2" w:rsidP="00991210">
            <w:pPr>
              <w:spacing w:after="0"/>
              <w:jc w:val="center"/>
            </w:pPr>
            <w:r>
              <w:t>70-79%</w:t>
            </w:r>
          </w:p>
        </w:tc>
      </w:tr>
      <w:tr w:rsidR="009715C2" w14:paraId="7F9F7FC6" w14:textId="77777777" w:rsidTr="00991210">
        <w:tc>
          <w:tcPr>
            <w:tcW w:w="1525" w:type="dxa"/>
          </w:tcPr>
          <w:p w14:paraId="4EA42B48" w14:textId="77777777" w:rsidR="009715C2" w:rsidRDefault="009715C2" w:rsidP="00991210">
            <w:pPr>
              <w:spacing w:after="0"/>
              <w:jc w:val="center"/>
            </w:pPr>
            <w:r>
              <w:t>D</w:t>
            </w:r>
          </w:p>
        </w:tc>
        <w:tc>
          <w:tcPr>
            <w:tcW w:w="1620" w:type="dxa"/>
          </w:tcPr>
          <w:p w14:paraId="0B1D5701" w14:textId="77777777" w:rsidR="009715C2" w:rsidRDefault="009715C2" w:rsidP="00991210">
            <w:pPr>
              <w:spacing w:after="0"/>
              <w:jc w:val="center"/>
            </w:pPr>
            <w:r>
              <w:t>60-69%</w:t>
            </w:r>
          </w:p>
        </w:tc>
      </w:tr>
      <w:tr w:rsidR="009715C2" w14:paraId="2A4D3968" w14:textId="77777777" w:rsidTr="00991210">
        <w:tc>
          <w:tcPr>
            <w:tcW w:w="1525" w:type="dxa"/>
          </w:tcPr>
          <w:p w14:paraId="24F5DAE6" w14:textId="77777777" w:rsidR="009715C2" w:rsidRDefault="009715C2" w:rsidP="00991210">
            <w:pPr>
              <w:spacing w:after="0"/>
              <w:jc w:val="center"/>
            </w:pPr>
            <w:r>
              <w:t>E</w:t>
            </w:r>
          </w:p>
        </w:tc>
        <w:tc>
          <w:tcPr>
            <w:tcW w:w="1620" w:type="dxa"/>
          </w:tcPr>
          <w:p w14:paraId="06DB68B9" w14:textId="77777777" w:rsidR="009715C2" w:rsidRDefault="009715C2" w:rsidP="00991210">
            <w:pPr>
              <w:spacing w:after="0"/>
              <w:jc w:val="center"/>
            </w:pPr>
            <w:r>
              <w:t>Less than 60%</w:t>
            </w:r>
          </w:p>
        </w:tc>
      </w:tr>
    </w:tbl>
    <w:p w14:paraId="4602FB19" w14:textId="57E96B0F" w:rsidR="00F83287" w:rsidRPr="00F83287" w:rsidRDefault="00F83287" w:rsidP="001E0A95">
      <w:pPr>
        <w:pStyle w:val="Heading3"/>
      </w:pPr>
      <w:bookmarkStart w:id="9" w:name="_Hlk121855937"/>
      <w:bookmarkStart w:id="10" w:name="OLE_LINK136"/>
      <w:r w:rsidRPr="00F83287">
        <w:t>Clinical Course Grades</w:t>
      </w:r>
    </w:p>
    <w:p w14:paraId="7B67CD9D" w14:textId="77777777" w:rsidR="00F83287" w:rsidRPr="00F83287" w:rsidRDefault="00F83287" w:rsidP="00F83287">
      <w:pPr>
        <w:numPr>
          <w:ilvl w:val="0"/>
          <w:numId w:val="12"/>
        </w:numPr>
      </w:pPr>
      <w:r w:rsidRPr="00F83287">
        <w:t xml:space="preserve">If a </w:t>
      </w:r>
      <w:r w:rsidRPr="00F83287">
        <w:rPr>
          <w:b/>
          <w:bCs/>
        </w:rPr>
        <w:t>nurse practitioner (NP) student</w:t>
      </w:r>
      <w:r w:rsidRPr="00F83287">
        <w:t xml:space="preserve"> in any specialty earns a C, D, or E in any clinical course, then the student may not progress in the DNP program until they have repeated the clinical course with a final course grade of A or B.  This may result in an extension of time to degree. A student may attempt the same clinical course no more than twice. If the student does not earn an A or B the second time, the student shall be recommended to the Graduate College for dismissal from the program.</w:t>
      </w:r>
    </w:p>
    <w:p w14:paraId="5847F094" w14:textId="77777777" w:rsidR="00F83287" w:rsidRPr="00F83287" w:rsidRDefault="00F83287" w:rsidP="00F83287">
      <w:pPr>
        <w:numPr>
          <w:ilvl w:val="0"/>
          <w:numId w:val="12"/>
        </w:numPr>
      </w:pPr>
      <w:r w:rsidRPr="00F83287">
        <w:lastRenderedPageBreak/>
        <w:t xml:space="preserve">If a </w:t>
      </w:r>
      <w:r w:rsidRPr="00F83287">
        <w:rPr>
          <w:b/>
          <w:bCs/>
        </w:rPr>
        <w:t>nurse anesthesia (NA) student</w:t>
      </w:r>
      <w:r w:rsidRPr="00F83287">
        <w:t xml:space="preserve"> earns a C, D, or E in any clinical course, then the student may not progress in the DNP program, and the student shall be recommended to the Graduate College for dismissal from the DNP program.</w:t>
      </w:r>
    </w:p>
    <w:p w14:paraId="67219CE1" w14:textId="53D7C1BA" w:rsidR="001F1A1B" w:rsidRDefault="00F83287" w:rsidP="001F1A1B">
      <w:pPr>
        <w:numPr>
          <w:ilvl w:val="0"/>
          <w:numId w:val="12"/>
        </w:numPr>
      </w:pPr>
      <w:r w:rsidRPr="00F83287">
        <w:t xml:space="preserve">For clinical courses that assign one grade for the combined lecture and independent study components, a student who earns less than a B grade (or an F in the instance of a pass/fail component) in </w:t>
      </w:r>
      <w:r w:rsidRPr="00F83287">
        <w:rPr>
          <w:b/>
          <w:bCs/>
        </w:rPr>
        <w:t>either</w:t>
      </w:r>
      <w:r w:rsidRPr="00F83287">
        <w:t xml:space="preserve"> the lecture or independent study component will receive a final grade no higher than a C for the total course.</w:t>
      </w:r>
      <w:bookmarkEnd w:id="9"/>
    </w:p>
    <w:bookmarkEnd w:id="10"/>
    <w:p w14:paraId="681DA638" w14:textId="77ED56A3" w:rsidR="00836FA4" w:rsidRDefault="00836FA4" w:rsidP="00836FA4">
      <w:pPr>
        <w:pStyle w:val="Heading3"/>
      </w:pPr>
      <w:r>
        <w:t>Graded Learning Activities</w:t>
      </w:r>
    </w:p>
    <w:p w14:paraId="6A9C78B8" w14:textId="5E6EA91C" w:rsidR="003903F6" w:rsidRDefault="003903F6" w:rsidP="003903F6">
      <w:r>
        <w:t xml:space="preserve">Below is a list of graded learning activities and their </w:t>
      </w:r>
      <w:r w:rsidR="003F25A1">
        <w:t xml:space="preserve">corresponding </w:t>
      </w:r>
      <w:r>
        <w:t>weight</w:t>
      </w:r>
      <w:r w:rsidR="003F25A1">
        <w:t>s in the course</w:t>
      </w:r>
      <w:r>
        <w:t>.</w:t>
      </w:r>
    </w:p>
    <w:tbl>
      <w:tblPr>
        <w:tblStyle w:val="TableGrid"/>
        <w:tblW w:w="0" w:type="auto"/>
        <w:tblLook w:val="04A0" w:firstRow="1" w:lastRow="0" w:firstColumn="1" w:lastColumn="0" w:noHBand="0" w:noVBand="1"/>
      </w:tblPr>
      <w:tblGrid>
        <w:gridCol w:w="8275"/>
        <w:gridCol w:w="1075"/>
      </w:tblGrid>
      <w:tr w:rsidR="00E668C0" w14:paraId="06E59C11" w14:textId="77777777" w:rsidTr="0035511C">
        <w:tc>
          <w:tcPr>
            <w:tcW w:w="8275" w:type="dxa"/>
            <w:shd w:val="clear" w:color="auto" w:fill="AB0420"/>
          </w:tcPr>
          <w:p w14:paraId="05FD7D47" w14:textId="2B653B59" w:rsidR="00E668C0" w:rsidRDefault="00E668C0" w:rsidP="0013177C">
            <w:pPr>
              <w:pStyle w:val="TableH4"/>
            </w:pPr>
            <w:bookmarkStart w:id="11" w:name="_Hlk150155714"/>
            <w:bookmarkStart w:id="12" w:name="OLE_LINK12"/>
            <w:r>
              <w:t>Lecture/Didactic Assignments</w:t>
            </w:r>
          </w:p>
        </w:tc>
        <w:tc>
          <w:tcPr>
            <w:tcW w:w="1075" w:type="dxa"/>
            <w:shd w:val="clear" w:color="auto" w:fill="AB0420"/>
          </w:tcPr>
          <w:p w14:paraId="68BBC79C" w14:textId="2D282595" w:rsidR="00E668C0" w:rsidRDefault="0013177C" w:rsidP="00622F81">
            <w:pPr>
              <w:pStyle w:val="TableH4"/>
              <w:jc w:val="center"/>
            </w:pPr>
            <w:r>
              <w:t>Weight</w:t>
            </w:r>
          </w:p>
        </w:tc>
      </w:tr>
      <w:tr w:rsidR="00E668C0" w14:paraId="58AA7C31" w14:textId="77777777" w:rsidTr="0035511C">
        <w:tc>
          <w:tcPr>
            <w:tcW w:w="8275" w:type="dxa"/>
          </w:tcPr>
          <w:p w14:paraId="31A0FD56" w14:textId="7A514AF7" w:rsidR="00E668C0" w:rsidRDefault="00E668C0" w:rsidP="00622F81">
            <w:pPr>
              <w:pStyle w:val="NoSpacing"/>
            </w:pPr>
            <w:bookmarkStart w:id="13" w:name="_Hlk150150429"/>
            <w:bookmarkEnd w:id="11"/>
            <w:r w:rsidRPr="00D25831">
              <w:t>Assignment Title</w:t>
            </w:r>
          </w:p>
        </w:tc>
        <w:tc>
          <w:tcPr>
            <w:tcW w:w="1075" w:type="dxa"/>
          </w:tcPr>
          <w:p w14:paraId="082398D3" w14:textId="7F6937B2" w:rsidR="00E668C0" w:rsidRDefault="00E668C0" w:rsidP="00622F81">
            <w:pPr>
              <w:pStyle w:val="NoSpacing"/>
              <w:jc w:val="center"/>
            </w:pPr>
            <w:r>
              <w:t>00%</w:t>
            </w:r>
          </w:p>
        </w:tc>
      </w:tr>
      <w:bookmarkEnd w:id="13"/>
      <w:tr w:rsidR="00E668C0" w14:paraId="4D2C7088" w14:textId="77777777" w:rsidTr="0035511C">
        <w:tc>
          <w:tcPr>
            <w:tcW w:w="8275" w:type="dxa"/>
          </w:tcPr>
          <w:p w14:paraId="1F6B3DB8" w14:textId="2EFDBC6B" w:rsidR="00E668C0" w:rsidRDefault="00E668C0" w:rsidP="00622F81">
            <w:pPr>
              <w:pStyle w:val="NoSpacing"/>
            </w:pPr>
            <w:r w:rsidRPr="00D25831">
              <w:t>Assignment Title</w:t>
            </w:r>
          </w:p>
        </w:tc>
        <w:tc>
          <w:tcPr>
            <w:tcW w:w="1075" w:type="dxa"/>
          </w:tcPr>
          <w:p w14:paraId="702B6E1E" w14:textId="57321B4D" w:rsidR="00E668C0" w:rsidRDefault="00E668C0" w:rsidP="00622F81">
            <w:pPr>
              <w:pStyle w:val="NoSpacing"/>
              <w:jc w:val="center"/>
            </w:pPr>
            <w:r>
              <w:t>00%</w:t>
            </w:r>
          </w:p>
        </w:tc>
      </w:tr>
      <w:tr w:rsidR="00E668C0" w14:paraId="63538C85" w14:textId="77777777" w:rsidTr="0035511C">
        <w:tc>
          <w:tcPr>
            <w:tcW w:w="8275" w:type="dxa"/>
          </w:tcPr>
          <w:p w14:paraId="3CE5E028" w14:textId="275D2ABB" w:rsidR="00E668C0" w:rsidRDefault="00E668C0" w:rsidP="00622F81">
            <w:pPr>
              <w:pStyle w:val="NoSpacing"/>
            </w:pPr>
            <w:r w:rsidRPr="00D25831">
              <w:t>Assignment Title</w:t>
            </w:r>
          </w:p>
        </w:tc>
        <w:tc>
          <w:tcPr>
            <w:tcW w:w="1075" w:type="dxa"/>
          </w:tcPr>
          <w:p w14:paraId="59D534B3" w14:textId="3C3D1004" w:rsidR="00E668C0" w:rsidRDefault="00E668C0" w:rsidP="00622F81">
            <w:pPr>
              <w:pStyle w:val="NoSpacing"/>
              <w:jc w:val="center"/>
            </w:pPr>
            <w:r>
              <w:t>00%</w:t>
            </w:r>
          </w:p>
        </w:tc>
      </w:tr>
      <w:tr w:rsidR="00E668C0" w14:paraId="1FAC542E" w14:textId="77777777" w:rsidTr="0035511C">
        <w:tc>
          <w:tcPr>
            <w:tcW w:w="8275" w:type="dxa"/>
          </w:tcPr>
          <w:p w14:paraId="1742ADD3" w14:textId="3AA9B07C" w:rsidR="00E668C0" w:rsidRDefault="00E668C0" w:rsidP="00622F81">
            <w:pPr>
              <w:pStyle w:val="NoSpacing"/>
            </w:pPr>
            <w:r w:rsidRPr="00D25831">
              <w:t>Assignment Title</w:t>
            </w:r>
          </w:p>
        </w:tc>
        <w:tc>
          <w:tcPr>
            <w:tcW w:w="1075" w:type="dxa"/>
          </w:tcPr>
          <w:p w14:paraId="74133384" w14:textId="1AE4500D" w:rsidR="00E668C0" w:rsidRDefault="00E668C0" w:rsidP="00622F81">
            <w:pPr>
              <w:pStyle w:val="NoSpacing"/>
              <w:jc w:val="center"/>
            </w:pPr>
            <w:r>
              <w:t>00%</w:t>
            </w:r>
          </w:p>
        </w:tc>
      </w:tr>
      <w:tr w:rsidR="00E668C0" w14:paraId="69DFD8BF" w14:textId="77777777" w:rsidTr="0035511C">
        <w:tc>
          <w:tcPr>
            <w:tcW w:w="8275" w:type="dxa"/>
          </w:tcPr>
          <w:p w14:paraId="31261AB0" w14:textId="1AAE816D" w:rsidR="00E668C0" w:rsidRDefault="00E668C0" w:rsidP="00622F81">
            <w:pPr>
              <w:pStyle w:val="NoSpacing"/>
            </w:pPr>
            <w:r w:rsidRPr="00D25831">
              <w:t>Assignment Title</w:t>
            </w:r>
          </w:p>
        </w:tc>
        <w:tc>
          <w:tcPr>
            <w:tcW w:w="1075" w:type="dxa"/>
          </w:tcPr>
          <w:p w14:paraId="1DDAB1B3" w14:textId="33A7F1C3" w:rsidR="00E668C0" w:rsidRDefault="00E668C0" w:rsidP="00622F81">
            <w:pPr>
              <w:pStyle w:val="NoSpacing"/>
              <w:jc w:val="center"/>
            </w:pPr>
            <w:r>
              <w:t>00%</w:t>
            </w:r>
          </w:p>
        </w:tc>
      </w:tr>
      <w:tr w:rsidR="00E668C0" w14:paraId="6D02412D" w14:textId="77777777" w:rsidTr="0035511C">
        <w:tc>
          <w:tcPr>
            <w:tcW w:w="8275" w:type="dxa"/>
          </w:tcPr>
          <w:p w14:paraId="3F3E4315" w14:textId="13B3D638" w:rsidR="00E668C0" w:rsidRPr="00E668C0" w:rsidRDefault="00E668C0" w:rsidP="00622F81">
            <w:pPr>
              <w:pStyle w:val="NoSpacing"/>
              <w:rPr>
                <w:b/>
                <w:bCs/>
              </w:rPr>
            </w:pPr>
            <w:r w:rsidRPr="00E668C0">
              <w:rPr>
                <w:b/>
                <w:bCs/>
              </w:rPr>
              <w:t>Total</w:t>
            </w:r>
          </w:p>
        </w:tc>
        <w:tc>
          <w:tcPr>
            <w:tcW w:w="1075" w:type="dxa"/>
          </w:tcPr>
          <w:p w14:paraId="52A05C50" w14:textId="4E753546" w:rsidR="00E668C0" w:rsidRPr="00E668C0" w:rsidRDefault="00E668C0" w:rsidP="00622F81">
            <w:pPr>
              <w:pStyle w:val="NoSpacing"/>
              <w:jc w:val="center"/>
              <w:rPr>
                <w:b/>
                <w:bCs/>
              </w:rPr>
            </w:pPr>
            <w:r w:rsidRPr="00E668C0">
              <w:rPr>
                <w:b/>
                <w:bCs/>
              </w:rPr>
              <w:t>100%</w:t>
            </w:r>
          </w:p>
        </w:tc>
      </w:tr>
      <w:bookmarkEnd w:id="12"/>
    </w:tbl>
    <w:p w14:paraId="538468ED" w14:textId="18D2956F" w:rsidR="003903F6" w:rsidRDefault="003903F6" w:rsidP="003903F6"/>
    <w:tbl>
      <w:tblPr>
        <w:tblStyle w:val="TableGrid"/>
        <w:tblW w:w="0" w:type="auto"/>
        <w:tblLook w:val="04A0" w:firstRow="1" w:lastRow="0" w:firstColumn="1" w:lastColumn="0" w:noHBand="0" w:noVBand="1"/>
      </w:tblPr>
      <w:tblGrid>
        <w:gridCol w:w="8275"/>
        <w:gridCol w:w="1075"/>
      </w:tblGrid>
      <w:tr w:rsidR="00E668C0" w14:paraId="5072938B" w14:textId="77777777" w:rsidTr="0035511C">
        <w:tc>
          <w:tcPr>
            <w:tcW w:w="8275" w:type="dxa"/>
            <w:shd w:val="clear" w:color="auto" w:fill="AB0420"/>
          </w:tcPr>
          <w:p w14:paraId="0D6D5019" w14:textId="7144FB15" w:rsidR="00E668C0" w:rsidRDefault="00E668C0" w:rsidP="0013177C">
            <w:pPr>
              <w:pStyle w:val="TableH4"/>
            </w:pPr>
            <w:r>
              <w:t>IND Study/Clinical Assignments</w:t>
            </w:r>
          </w:p>
        </w:tc>
        <w:tc>
          <w:tcPr>
            <w:tcW w:w="1075" w:type="dxa"/>
            <w:shd w:val="clear" w:color="auto" w:fill="AB0420"/>
          </w:tcPr>
          <w:p w14:paraId="35A68615" w14:textId="6BCCDC31" w:rsidR="00E668C0" w:rsidRDefault="0013177C" w:rsidP="00622F81">
            <w:pPr>
              <w:pStyle w:val="TableH4"/>
              <w:jc w:val="center"/>
            </w:pPr>
            <w:r>
              <w:t>Weight</w:t>
            </w:r>
          </w:p>
        </w:tc>
      </w:tr>
      <w:tr w:rsidR="00E668C0" w14:paraId="24B3F8CA" w14:textId="77777777" w:rsidTr="0035511C">
        <w:tc>
          <w:tcPr>
            <w:tcW w:w="8275" w:type="dxa"/>
          </w:tcPr>
          <w:p w14:paraId="56931303" w14:textId="77777777" w:rsidR="00E668C0" w:rsidRDefault="00E668C0" w:rsidP="00622F81">
            <w:pPr>
              <w:pStyle w:val="NoSpacing"/>
            </w:pPr>
            <w:r w:rsidRPr="00D25831">
              <w:t>Assignment Title</w:t>
            </w:r>
          </w:p>
        </w:tc>
        <w:tc>
          <w:tcPr>
            <w:tcW w:w="1075" w:type="dxa"/>
          </w:tcPr>
          <w:p w14:paraId="634D39EC" w14:textId="77777777" w:rsidR="00E668C0" w:rsidRDefault="00E668C0" w:rsidP="00622F81">
            <w:pPr>
              <w:pStyle w:val="NoSpacing"/>
              <w:jc w:val="center"/>
            </w:pPr>
            <w:r>
              <w:t>00%</w:t>
            </w:r>
          </w:p>
        </w:tc>
      </w:tr>
      <w:tr w:rsidR="00E668C0" w14:paraId="1943C386" w14:textId="77777777" w:rsidTr="0035511C">
        <w:tc>
          <w:tcPr>
            <w:tcW w:w="8275" w:type="dxa"/>
          </w:tcPr>
          <w:p w14:paraId="275C1FFF" w14:textId="77777777" w:rsidR="00E668C0" w:rsidRDefault="00E668C0" w:rsidP="00622F81">
            <w:pPr>
              <w:pStyle w:val="NoSpacing"/>
            </w:pPr>
            <w:r w:rsidRPr="00D25831">
              <w:t>Assignment Title</w:t>
            </w:r>
          </w:p>
        </w:tc>
        <w:tc>
          <w:tcPr>
            <w:tcW w:w="1075" w:type="dxa"/>
          </w:tcPr>
          <w:p w14:paraId="14443F79" w14:textId="77777777" w:rsidR="00E668C0" w:rsidRDefault="00E668C0" w:rsidP="00622F81">
            <w:pPr>
              <w:pStyle w:val="NoSpacing"/>
              <w:jc w:val="center"/>
            </w:pPr>
            <w:r>
              <w:t>00%</w:t>
            </w:r>
          </w:p>
        </w:tc>
      </w:tr>
      <w:tr w:rsidR="00E668C0" w14:paraId="5C31EBC7" w14:textId="77777777" w:rsidTr="0035511C">
        <w:tc>
          <w:tcPr>
            <w:tcW w:w="8275" w:type="dxa"/>
          </w:tcPr>
          <w:p w14:paraId="57B0B8DB" w14:textId="77777777" w:rsidR="00E668C0" w:rsidRDefault="00E668C0" w:rsidP="00622F81">
            <w:pPr>
              <w:pStyle w:val="NoSpacing"/>
            </w:pPr>
            <w:r w:rsidRPr="00D25831">
              <w:t>Assignment Title</w:t>
            </w:r>
          </w:p>
        </w:tc>
        <w:tc>
          <w:tcPr>
            <w:tcW w:w="1075" w:type="dxa"/>
          </w:tcPr>
          <w:p w14:paraId="31B086D8" w14:textId="77777777" w:rsidR="00E668C0" w:rsidRDefault="00E668C0" w:rsidP="00622F81">
            <w:pPr>
              <w:pStyle w:val="NoSpacing"/>
              <w:jc w:val="center"/>
            </w:pPr>
            <w:r>
              <w:t>00%</w:t>
            </w:r>
          </w:p>
        </w:tc>
      </w:tr>
      <w:tr w:rsidR="00E668C0" w14:paraId="16F451F3" w14:textId="77777777" w:rsidTr="0035511C">
        <w:tc>
          <w:tcPr>
            <w:tcW w:w="8275" w:type="dxa"/>
          </w:tcPr>
          <w:p w14:paraId="022F0CEF" w14:textId="77777777" w:rsidR="00E668C0" w:rsidRDefault="00E668C0" w:rsidP="00622F81">
            <w:pPr>
              <w:pStyle w:val="NoSpacing"/>
            </w:pPr>
            <w:r w:rsidRPr="00D25831">
              <w:t>Assignment Title</w:t>
            </w:r>
          </w:p>
        </w:tc>
        <w:tc>
          <w:tcPr>
            <w:tcW w:w="1075" w:type="dxa"/>
          </w:tcPr>
          <w:p w14:paraId="620FE5EB" w14:textId="77777777" w:rsidR="00E668C0" w:rsidRDefault="00E668C0" w:rsidP="00622F81">
            <w:pPr>
              <w:pStyle w:val="NoSpacing"/>
              <w:jc w:val="center"/>
            </w:pPr>
            <w:r>
              <w:t>00%</w:t>
            </w:r>
          </w:p>
        </w:tc>
      </w:tr>
      <w:tr w:rsidR="00E668C0" w14:paraId="2A397DAC" w14:textId="77777777" w:rsidTr="0035511C">
        <w:tc>
          <w:tcPr>
            <w:tcW w:w="8275" w:type="dxa"/>
          </w:tcPr>
          <w:p w14:paraId="35F89F22" w14:textId="77777777" w:rsidR="00E668C0" w:rsidRDefault="00E668C0" w:rsidP="00622F81">
            <w:pPr>
              <w:pStyle w:val="NoSpacing"/>
            </w:pPr>
            <w:r w:rsidRPr="00D25831">
              <w:t>Assignment Title</w:t>
            </w:r>
          </w:p>
        </w:tc>
        <w:tc>
          <w:tcPr>
            <w:tcW w:w="1075" w:type="dxa"/>
          </w:tcPr>
          <w:p w14:paraId="1DFDBC9C" w14:textId="77777777" w:rsidR="00E668C0" w:rsidRDefault="00E668C0" w:rsidP="00622F81">
            <w:pPr>
              <w:pStyle w:val="NoSpacing"/>
              <w:jc w:val="center"/>
            </w:pPr>
            <w:r>
              <w:t>00%</w:t>
            </w:r>
          </w:p>
        </w:tc>
      </w:tr>
      <w:tr w:rsidR="00E668C0" w14:paraId="172F3C4F" w14:textId="77777777" w:rsidTr="0035511C">
        <w:tc>
          <w:tcPr>
            <w:tcW w:w="8275" w:type="dxa"/>
          </w:tcPr>
          <w:p w14:paraId="7A96F085" w14:textId="77777777" w:rsidR="00E668C0" w:rsidRPr="00E668C0" w:rsidRDefault="00E668C0" w:rsidP="00622F81">
            <w:pPr>
              <w:pStyle w:val="NoSpacing"/>
              <w:rPr>
                <w:b/>
                <w:bCs/>
              </w:rPr>
            </w:pPr>
            <w:r w:rsidRPr="00E668C0">
              <w:rPr>
                <w:b/>
                <w:bCs/>
              </w:rPr>
              <w:t>Total</w:t>
            </w:r>
          </w:p>
        </w:tc>
        <w:tc>
          <w:tcPr>
            <w:tcW w:w="1075" w:type="dxa"/>
          </w:tcPr>
          <w:p w14:paraId="0B9611A2" w14:textId="77777777" w:rsidR="00E668C0" w:rsidRPr="00E668C0" w:rsidRDefault="00E668C0" w:rsidP="00622F81">
            <w:pPr>
              <w:pStyle w:val="NoSpacing"/>
              <w:jc w:val="center"/>
              <w:rPr>
                <w:b/>
                <w:bCs/>
              </w:rPr>
            </w:pPr>
            <w:r w:rsidRPr="00E668C0">
              <w:rPr>
                <w:b/>
                <w:bCs/>
              </w:rPr>
              <w:t>100%</w:t>
            </w:r>
          </w:p>
        </w:tc>
      </w:tr>
    </w:tbl>
    <w:p w14:paraId="3F7C66B8" w14:textId="77777777" w:rsidR="00D6109D" w:rsidRDefault="00D6109D" w:rsidP="00D6109D">
      <w:pPr>
        <w:pStyle w:val="Heading3"/>
      </w:pPr>
      <w:r w:rsidRPr="002124CA">
        <w:t>Use of Generative AI in this Course</w:t>
      </w:r>
      <w:r>
        <w:t xml:space="preserve">  </w:t>
      </w:r>
    </w:p>
    <w:p w14:paraId="65D44D80" w14:textId="227D8939" w:rsidR="00747380" w:rsidRDefault="00D6109D" w:rsidP="00D6109D">
      <w:r w:rsidRPr="00E668C0">
        <w:t xml:space="preserve">Add </w:t>
      </w:r>
      <w:r>
        <w:t>a statement that addresses the use</w:t>
      </w:r>
      <w:r w:rsidRPr="00E668C0">
        <w:t xml:space="preserve"> </w:t>
      </w:r>
      <w:r>
        <w:t>of generative AI in this course.</w:t>
      </w:r>
    </w:p>
    <w:p w14:paraId="758D71E1" w14:textId="2B07D071" w:rsidR="00E668C0" w:rsidRDefault="00E668C0" w:rsidP="00E668C0">
      <w:pPr>
        <w:pStyle w:val="Heading3"/>
      </w:pPr>
      <w:r>
        <w:t>Late Assignment Policy</w:t>
      </w:r>
    </w:p>
    <w:p w14:paraId="0DA561A8" w14:textId="7BD6949A" w:rsidR="00EF3566" w:rsidRPr="00767CF4" w:rsidRDefault="00EF3566" w:rsidP="00EF3566">
      <w:r w:rsidRPr="00767CF4">
        <w:t>Graduate students are expected to turn in their assignments on time. A student should contact faculty by University of Arizona email prior to the deadline to discuss any circumstances preventing them from meeting an assignment deadline. This request should occur prior to the due date, or if unable to do so, as soon as feasible given the circumstances. Approval is at the discretion of the course chair who will respond in writing using University email with the new due date of the assignment.</w:t>
      </w:r>
    </w:p>
    <w:p w14:paraId="1CA0211B" w14:textId="77777777" w:rsidR="00EF3566" w:rsidRDefault="00EF3566" w:rsidP="00EF3566">
      <w:r w:rsidRPr="00767CF4">
        <w:lastRenderedPageBreak/>
        <w:t xml:space="preserve">Late assignments can have negative consequences on student success and progression. If students are unable to meet deadlines habitually, students should contact the Academic Success Coach through the College of Nursing, </w:t>
      </w:r>
      <w:hyperlink r:id="rId8" w:history="1">
        <w:r w:rsidRPr="00767CF4">
          <w:rPr>
            <w:rStyle w:val="Hyperlink"/>
          </w:rPr>
          <w:t>Office of Student &amp; Academic Affairs (OSAA)</w:t>
        </w:r>
      </w:hyperlink>
      <w:r w:rsidRPr="00767CF4">
        <w:t xml:space="preserve">, who will work with the student to develop successful habits. Faculty may also refer students who are habitually late to the College of Nursing, Academic Success Coach using the Student Progress Report. Students should discuss with their academic advisor options or changes in the plan of study to ensure maximum success (e.g., going from full-time to part-time study given full-time work and family responsibilities). Together, the faculty, student, advisor, and Academic Success Coach can </w:t>
      </w:r>
      <w:proofErr w:type="gramStart"/>
      <w:r w:rsidRPr="00767CF4">
        <w:t>make a plan</w:t>
      </w:r>
      <w:proofErr w:type="gramEnd"/>
      <w:r w:rsidRPr="00767CF4">
        <w:t xml:space="preserve"> to help the student meet deadlines. </w:t>
      </w:r>
    </w:p>
    <w:p w14:paraId="4622CFB1" w14:textId="77777777" w:rsidR="00EF3566" w:rsidRPr="00767CF4" w:rsidRDefault="00EF3566" w:rsidP="00EF3566">
      <w:r w:rsidRPr="00767CF4">
        <w:t xml:space="preserve">If the student </w:t>
      </w:r>
      <w:r w:rsidRPr="00767CF4">
        <w:rPr>
          <w:b/>
          <w:bCs/>
        </w:rPr>
        <w:t>has not communicated with faculty by University of Arizona email to obtain an approved extension or the approval has been denied</w:t>
      </w:r>
      <w:r w:rsidRPr="00767CF4">
        <w:t xml:space="preserve">, the grading policy may be: </w:t>
      </w:r>
    </w:p>
    <w:p w14:paraId="40868CB2" w14:textId="77777777" w:rsidR="00EF3566" w:rsidRPr="00767CF4" w:rsidRDefault="00EF3566" w:rsidP="00EF3566">
      <w:pPr>
        <w:pStyle w:val="Heading4"/>
      </w:pPr>
      <w:r w:rsidRPr="00767CF4">
        <w:t>Course Assignments</w:t>
      </w:r>
    </w:p>
    <w:p w14:paraId="4A54158B" w14:textId="26DBE05E" w:rsidR="00EF3566" w:rsidRPr="00767CF4" w:rsidRDefault="00087622" w:rsidP="00EF3566">
      <w:r w:rsidRPr="00087622">
        <w:t>A 10% grade reduction will be applied to assignments submitted late. For every calendar day that the assignment is late, a 10% reduction of the earned grade will occur. On day 10, after the original submission due date, the student will earn a 0.  Any assignments with an approved extension must be submitted by the agreed-upon due date or the student will earn a zero.   </w:t>
      </w:r>
      <w:r w:rsidR="00EF3566" w:rsidRPr="00767CF4">
        <w:t xml:space="preserve"> </w:t>
      </w:r>
    </w:p>
    <w:p w14:paraId="16CB49DE" w14:textId="77777777" w:rsidR="00EF3566" w:rsidRPr="00767CF4" w:rsidRDefault="00EF3566" w:rsidP="00EF3566">
      <w:pPr>
        <w:pStyle w:val="Heading4"/>
      </w:pPr>
      <w:r w:rsidRPr="00767CF4">
        <w:t>Quizzes &amp; Exams</w:t>
      </w:r>
    </w:p>
    <w:p w14:paraId="548D5E4D" w14:textId="4B1E43F9" w:rsidR="00E668C0" w:rsidRDefault="00EF3566" w:rsidP="003903F6">
      <w:r w:rsidRPr="00767CF4">
        <w:t>All quizzes and exams must be completed and submitted by the posted deadline. Given that quizzes and exams are proctored and only open for specified periods, students must obtain approval from their course chair to take the quiz or exam at an alternate time. If an alternate time is not approved, then the quiz or exam will receive a grade of zero.</w:t>
      </w:r>
    </w:p>
    <w:p w14:paraId="4A122634" w14:textId="2F363079" w:rsidR="00E668C0" w:rsidRDefault="00E668C0" w:rsidP="00E668C0">
      <w:pPr>
        <w:pStyle w:val="Heading2"/>
      </w:pPr>
      <w:r>
        <w:t>University Policies</w:t>
      </w:r>
    </w:p>
    <w:p w14:paraId="3A7A6D2F" w14:textId="57568E35" w:rsidR="00E668C0" w:rsidRDefault="00E668C0" w:rsidP="00E668C0">
      <w:r>
        <w:t xml:space="preserve">The College of Nursing upholds all </w:t>
      </w:r>
      <w:hyperlink r:id="rId9" w:history="1">
        <w:r w:rsidRPr="00E668C0">
          <w:rPr>
            <w:rStyle w:val="Hyperlink"/>
          </w:rPr>
          <w:t>University Policies</w:t>
        </w:r>
      </w:hyperlink>
      <w:r>
        <w:t xml:space="preserve"> related to but not limited to the following:</w:t>
      </w:r>
    </w:p>
    <w:p w14:paraId="05BB86E9" w14:textId="0FA17959" w:rsidR="00E668C0" w:rsidRDefault="00E668C0" w:rsidP="00E668C0">
      <w:pPr>
        <w:pStyle w:val="ListParagraph"/>
        <w:numPr>
          <w:ilvl w:val="0"/>
          <w:numId w:val="7"/>
        </w:numPr>
      </w:pPr>
      <w:r>
        <w:t>Absence and Class Participation</w:t>
      </w:r>
    </w:p>
    <w:p w14:paraId="06333C2A" w14:textId="193B32D8" w:rsidR="00E668C0" w:rsidRDefault="00E668C0" w:rsidP="00E668C0">
      <w:pPr>
        <w:pStyle w:val="ListParagraph"/>
        <w:numPr>
          <w:ilvl w:val="0"/>
          <w:numId w:val="7"/>
        </w:numPr>
      </w:pPr>
      <w:r>
        <w:t>Threatening Behavior</w:t>
      </w:r>
      <w:r w:rsidR="009715C2">
        <w:t xml:space="preserve"> Policy</w:t>
      </w:r>
    </w:p>
    <w:p w14:paraId="7697CE7A" w14:textId="2070F0F7" w:rsidR="00E668C0" w:rsidRDefault="00E668C0" w:rsidP="00E668C0">
      <w:pPr>
        <w:pStyle w:val="ListParagraph"/>
        <w:numPr>
          <w:ilvl w:val="0"/>
          <w:numId w:val="7"/>
        </w:numPr>
      </w:pPr>
      <w:r>
        <w:t>Accessibility and Accommodations</w:t>
      </w:r>
    </w:p>
    <w:p w14:paraId="38D91981" w14:textId="4810A394" w:rsidR="00E668C0" w:rsidRDefault="00E668C0" w:rsidP="00E668C0">
      <w:pPr>
        <w:pStyle w:val="ListParagraph"/>
        <w:numPr>
          <w:ilvl w:val="0"/>
          <w:numId w:val="7"/>
        </w:numPr>
      </w:pPr>
      <w:r>
        <w:t>Code of Academic Integrity</w:t>
      </w:r>
    </w:p>
    <w:p w14:paraId="7BB43503" w14:textId="269337DC" w:rsidR="00E668C0" w:rsidRDefault="00E668C0" w:rsidP="00E668C0">
      <w:pPr>
        <w:pStyle w:val="ListParagraph"/>
        <w:numPr>
          <w:ilvl w:val="0"/>
          <w:numId w:val="7"/>
        </w:numPr>
      </w:pPr>
      <w:r>
        <w:t>Nondiscrimination and Anti-Harassment</w:t>
      </w:r>
    </w:p>
    <w:p w14:paraId="4B62BB69" w14:textId="45EFD596" w:rsidR="00E668C0" w:rsidRDefault="00E668C0" w:rsidP="00E668C0">
      <w:pPr>
        <w:pStyle w:val="ListParagraph"/>
        <w:numPr>
          <w:ilvl w:val="0"/>
          <w:numId w:val="7"/>
        </w:numPr>
      </w:pPr>
      <w:r>
        <w:t xml:space="preserve">Safety on Campus and in the </w:t>
      </w:r>
      <w:proofErr w:type="gramStart"/>
      <w:r>
        <w:t>Classroom</w:t>
      </w:r>
      <w:proofErr w:type="gramEnd"/>
    </w:p>
    <w:p w14:paraId="4CEE5504" w14:textId="468A885D" w:rsidR="00E668C0" w:rsidRDefault="00E668C0" w:rsidP="00E668C0">
      <w:pPr>
        <w:pStyle w:val="ListParagraph"/>
        <w:numPr>
          <w:ilvl w:val="0"/>
          <w:numId w:val="7"/>
        </w:numPr>
      </w:pPr>
      <w:r>
        <w:t>Subject to Change</w:t>
      </w:r>
    </w:p>
    <w:p w14:paraId="4B9E37FE" w14:textId="7FF20F13" w:rsidR="00E668C0" w:rsidRDefault="00CA1FB5" w:rsidP="00CA1FB5">
      <w:pPr>
        <w:pStyle w:val="Heading2"/>
      </w:pPr>
      <w:r>
        <w:t>College of Nursing Policies</w:t>
      </w:r>
    </w:p>
    <w:p w14:paraId="761354AB" w14:textId="18AC4EC2" w:rsidR="00977DC8" w:rsidRPr="00977DC8" w:rsidRDefault="00977DC8" w:rsidP="00977DC8">
      <w:r w:rsidRPr="00977DC8">
        <w:t xml:space="preserve">In addition to the University Policies, the College of Nursing has specific policies and procedures that </w:t>
      </w:r>
      <w:r w:rsidRPr="00977DC8">
        <w:rPr>
          <w:b/>
        </w:rPr>
        <w:t>all students are</w:t>
      </w:r>
      <w:r w:rsidRPr="00977DC8">
        <w:t xml:space="preserve"> </w:t>
      </w:r>
      <w:r w:rsidRPr="00977DC8">
        <w:rPr>
          <w:b/>
        </w:rPr>
        <w:t>required</w:t>
      </w:r>
      <w:r w:rsidRPr="00977DC8">
        <w:t xml:space="preserve"> </w:t>
      </w:r>
      <w:r w:rsidRPr="00977DC8">
        <w:rPr>
          <w:b/>
        </w:rPr>
        <w:t>to review</w:t>
      </w:r>
      <w:r w:rsidRPr="00977DC8">
        <w:t xml:space="preserve"> in the </w:t>
      </w:r>
      <w:hyperlink r:id="rId10" w:history="1">
        <w:r w:rsidRPr="00977DC8">
          <w:rPr>
            <w:rStyle w:val="Hyperlink"/>
          </w:rPr>
          <w:t>Doctor of Nursing Practice</w:t>
        </w:r>
        <w:r w:rsidR="00B145D9">
          <w:rPr>
            <w:rStyle w:val="Hyperlink"/>
          </w:rPr>
          <w:t xml:space="preserve"> (DNP)</w:t>
        </w:r>
        <w:r w:rsidRPr="00977DC8">
          <w:rPr>
            <w:rStyle w:val="Hyperlink"/>
          </w:rPr>
          <w:t xml:space="preserve"> Program Handbook</w:t>
        </w:r>
      </w:hyperlink>
      <w:r w:rsidRPr="00977DC8">
        <w:t xml:space="preserve">. Pay special attention to items related to: </w:t>
      </w:r>
    </w:p>
    <w:p w14:paraId="4D213B77" w14:textId="5D616467" w:rsidR="00CA1FB5" w:rsidRDefault="00CA1FB5" w:rsidP="00CA1FB5">
      <w:pPr>
        <w:pStyle w:val="ListParagraph"/>
        <w:numPr>
          <w:ilvl w:val="0"/>
          <w:numId w:val="8"/>
        </w:numPr>
      </w:pPr>
      <w:r>
        <w:lastRenderedPageBreak/>
        <w:t>College of Nursing Inclusive Excellence Statement</w:t>
      </w:r>
    </w:p>
    <w:p w14:paraId="0EF324E4" w14:textId="7D19CC27" w:rsidR="00CA1FB5" w:rsidRDefault="00CA1FB5" w:rsidP="00CA1FB5">
      <w:pPr>
        <w:pStyle w:val="ListParagraph"/>
        <w:numPr>
          <w:ilvl w:val="0"/>
          <w:numId w:val="8"/>
        </w:numPr>
      </w:pPr>
      <w:r>
        <w:t>College of Nursing Policy &amp; Procedures Webpage</w:t>
      </w:r>
    </w:p>
    <w:p w14:paraId="04393F12" w14:textId="2FE0D71C" w:rsidR="00CA1FB5" w:rsidRDefault="00CA1FB5" w:rsidP="00CA1FB5">
      <w:pPr>
        <w:pStyle w:val="ListParagraph"/>
        <w:numPr>
          <w:ilvl w:val="0"/>
          <w:numId w:val="8"/>
        </w:numPr>
      </w:pPr>
      <w:r>
        <w:t>Clinical Handbook (if applicable)</w:t>
      </w:r>
    </w:p>
    <w:p w14:paraId="5FA91CD2" w14:textId="54CAF5B7" w:rsidR="00CA1FB5" w:rsidRDefault="00CA1FB5" w:rsidP="00CA1FB5">
      <w:pPr>
        <w:pStyle w:val="Heading2"/>
      </w:pPr>
      <w:r>
        <w:t>Accessibility and Accommodations</w:t>
      </w:r>
    </w:p>
    <w:p w14:paraId="09416093" w14:textId="2624693F" w:rsidR="00CA1FB5" w:rsidRDefault="00CA1FB5" w:rsidP="00CA1FB5">
      <w:r w:rsidRPr="00CA1FB5">
        <w:t xml:space="preserve">At the University of Arizona, we strive to make learning experiences as accessible as possible. If you anticipate or experience barriers based on disability or pregnancy, please contact the </w:t>
      </w:r>
      <w:hyperlink r:id="rId11" w:history="1">
        <w:r w:rsidRPr="00CA1FB5">
          <w:rPr>
            <w:rStyle w:val="Hyperlink"/>
          </w:rPr>
          <w:t>Disability Resource Center</w:t>
        </w:r>
      </w:hyperlink>
      <w:r w:rsidRPr="00CA1FB5">
        <w:t xml:space="preserve"> (520-621-3268) to establish reasonable accommodations.</w:t>
      </w:r>
    </w:p>
    <w:p w14:paraId="0FBA4466" w14:textId="77777777" w:rsidR="00624708" w:rsidRDefault="00624708" w:rsidP="00624708">
      <w:pPr>
        <w:pStyle w:val="Heading2"/>
      </w:pPr>
      <w:r>
        <w:t>Classroom Behavior Policy</w:t>
      </w:r>
    </w:p>
    <w:p w14:paraId="0B6A7FEC" w14:textId="77DEB15A" w:rsidR="00624708" w:rsidRDefault="00624708" w:rsidP="00624708">
      <w:r w:rsidRPr="00243B49">
        <w:t>To foster a positive learning environment, students and instructors have a shared responsibility. We want a safe, welcoming, and inclusive environment where all of us feel comfortable with each other and where we can challenge ourselves to succeed. To that end, our focus is on the tasks at hand and not on extraneous activities (e.g., texting, chatting, reading a newspaper, making phone calls, web surfing, etc.).</w:t>
      </w:r>
    </w:p>
    <w:p w14:paraId="03329804" w14:textId="77777777" w:rsidR="002B601E" w:rsidRDefault="002B601E" w:rsidP="002B601E">
      <w:pPr>
        <w:pStyle w:val="Heading2"/>
      </w:pPr>
      <w:r w:rsidRPr="00082644">
        <w:t>Expected Norms</w:t>
      </w:r>
    </w:p>
    <w:p w14:paraId="4613DDD9" w14:textId="46FE7E2F" w:rsidR="002B601E" w:rsidRDefault="002B601E" w:rsidP="002B601E">
      <w:r w:rsidRPr="00082644">
        <w:t xml:space="preserve">Students should be mindful that instructor course content is subject to intellectual property protections, and that fellow students have privacy rights and expectations as part of class activities. Some students may have an approved accommodation from the Disability Resource Center, which automatically notifies instructors through the DRC Instructor portal. Students who do not have </w:t>
      </w:r>
      <w:proofErr w:type="gramStart"/>
      <w:r w:rsidRPr="00082644">
        <w:t>a DRC</w:t>
      </w:r>
      <w:proofErr w:type="gramEnd"/>
      <w:r w:rsidRPr="00082644">
        <w:t xml:space="preserve"> accommodation must notify the instructor if they wish to record (audio and/or video) or photograph any class activity. When course activities are recorded, they should be used for a student’s own personal educational use only.</w:t>
      </w:r>
    </w:p>
    <w:p w14:paraId="5DE65D71" w14:textId="3F0FF089" w:rsidR="00CA1FB5" w:rsidRDefault="00CA1FB5" w:rsidP="00AB4451">
      <w:pPr>
        <w:pStyle w:val="Heading2"/>
      </w:pPr>
      <w:r>
        <w:t>Statement of Copyrighted Materials</w:t>
      </w:r>
    </w:p>
    <w:p w14:paraId="0286D8C6" w14:textId="5D452329" w:rsidR="001B6498" w:rsidRDefault="00C21CDF" w:rsidP="000A2EA4">
      <w:r>
        <w:t>Distributing</w:t>
      </w:r>
      <w:r w:rsidR="003C0357" w:rsidRPr="003C0357">
        <w:t xml:space="preserve"> class notes and/or other course materials to other students or to a third party is not permitted without the instructor’s express written consent. Violations to this and other course rules are subject to the </w:t>
      </w:r>
      <w:hyperlink r:id="rId12" w:history="1">
        <w:r w:rsidR="003C0357" w:rsidRPr="009715C2">
          <w:rPr>
            <w:rStyle w:val="Hyperlink"/>
          </w:rPr>
          <w:t>Code of Academic Integrity</w:t>
        </w:r>
      </w:hyperlink>
      <w:r w:rsidR="003C0357" w:rsidRPr="003C0357">
        <w:t xml:space="preserve"> and may result in course sanctions. Additionally, students who use D2L or UA e-mail to sell or buy these copyrighted materials are subject to Code of Conduct Violations for misuse of student e-mail addresses. This conduct may also constitute copyright infringement.</w:t>
      </w:r>
    </w:p>
    <w:p w14:paraId="0A36E02D" w14:textId="77777777" w:rsidR="001B6498" w:rsidRPr="007306D0" w:rsidRDefault="001B6498" w:rsidP="001B6498">
      <w:pPr>
        <w:pStyle w:val="Heading2"/>
        <w:rPr>
          <w:i/>
        </w:rPr>
      </w:pPr>
      <w:r w:rsidRPr="007306D0">
        <w:lastRenderedPageBreak/>
        <w:t>DNP Non-Clinical Practice Immersion Hours Table</w:t>
      </w:r>
    </w:p>
    <w:tbl>
      <w:tblPr>
        <w:tblStyle w:val="TableGrid"/>
        <w:tblW w:w="9354" w:type="dxa"/>
        <w:tblLayout w:type="fixed"/>
        <w:tblLook w:val="01E0" w:firstRow="1" w:lastRow="1" w:firstColumn="1" w:lastColumn="1" w:noHBand="0" w:noVBand="0"/>
      </w:tblPr>
      <w:tblGrid>
        <w:gridCol w:w="2057"/>
        <w:gridCol w:w="3788"/>
        <w:gridCol w:w="1698"/>
        <w:gridCol w:w="1811"/>
      </w:tblGrid>
      <w:tr w:rsidR="001B6498" w:rsidRPr="007306D0" w14:paraId="68C7DA9D" w14:textId="77777777" w:rsidTr="00991210">
        <w:trPr>
          <w:trHeight w:val="1105"/>
        </w:trPr>
        <w:tc>
          <w:tcPr>
            <w:tcW w:w="2057" w:type="dxa"/>
            <w:shd w:val="clear" w:color="auto" w:fill="AB0420"/>
          </w:tcPr>
          <w:p w14:paraId="7642D352" w14:textId="77777777" w:rsidR="001B6498" w:rsidRPr="007306D0" w:rsidRDefault="001B6498" w:rsidP="00991210">
            <w:pPr>
              <w:pStyle w:val="TableH4"/>
            </w:pPr>
            <w:r w:rsidRPr="007306D0">
              <w:t>DNP Essential</w:t>
            </w:r>
          </w:p>
        </w:tc>
        <w:tc>
          <w:tcPr>
            <w:tcW w:w="3788" w:type="dxa"/>
            <w:shd w:val="clear" w:color="auto" w:fill="AB0420"/>
          </w:tcPr>
          <w:p w14:paraId="7CB1F1BA" w14:textId="77777777" w:rsidR="001B6498" w:rsidRPr="007306D0" w:rsidRDefault="001B6498" w:rsidP="00991210">
            <w:pPr>
              <w:pStyle w:val="TableH4"/>
            </w:pPr>
            <w:r w:rsidRPr="007306D0">
              <w:t>Expected Learning Outcomes</w:t>
            </w:r>
          </w:p>
        </w:tc>
        <w:tc>
          <w:tcPr>
            <w:tcW w:w="1698" w:type="dxa"/>
            <w:shd w:val="clear" w:color="auto" w:fill="AB0420"/>
          </w:tcPr>
          <w:p w14:paraId="519374B7" w14:textId="77777777" w:rsidR="001B6498" w:rsidRPr="007306D0" w:rsidRDefault="001B6498" w:rsidP="00991210">
            <w:pPr>
              <w:pStyle w:val="TableH4"/>
            </w:pPr>
            <w:r w:rsidRPr="007306D0">
              <w:t>Associated Course Activities</w:t>
            </w:r>
          </w:p>
        </w:tc>
        <w:tc>
          <w:tcPr>
            <w:tcW w:w="1811" w:type="dxa"/>
            <w:shd w:val="clear" w:color="auto" w:fill="AB0420"/>
          </w:tcPr>
          <w:p w14:paraId="20F16BF8" w14:textId="77777777" w:rsidR="001B6498" w:rsidRPr="007306D0" w:rsidRDefault="001B6498" w:rsidP="00991210">
            <w:pPr>
              <w:pStyle w:val="TableH4"/>
            </w:pPr>
            <w:r w:rsidRPr="007306D0">
              <w:t>Non-Clinical Practice Immersion Hours</w:t>
            </w:r>
          </w:p>
        </w:tc>
      </w:tr>
      <w:tr w:rsidR="001B6498" w:rsidRPr="007306D0" w14:paraId="4BE61084" w14:textId="77777777" w:rsidTr="001B6498">
        <w:trPr>
          <w:trHeight w:val="43"/>
        </w:trPr>
        <w:tc>
          <w:tcPr>
            <w:tcW w:w="2057" w:type="dxa"/>
          </w:tcPr>
          <w:p w14:paraId="561AAADA" w14:textId="62C652AF" w:rsidR="001B6498" w:rsidRPr="007306D0" w:rsidRDefault="001B6498" w:rsidP="00991210">
            <w:pPr>
              <w:rPr>
                <w:bCs/>
                <w:lang w:bidi="en-US"/>
              </w:rPr>
            </w:pPr>
          </w:p>
        </w:tc>
        <w:tc>
          <w:tcPr>
            <w:tcW w:w="3788" w:type="dxa"/>
          </w:tcPr>
          <w:p w14:paraId="581943A9" w14:textId="77777777" w:rsidR="001B6498" w:rsidRPr="007306D0" w:rsidRDefault="001B6498" w:rsidP="00991210">
            <w:pPr>
              <w:rPr>
                <w:lang w:bidi="en-US"/>
              </w:rPr>
            </w:pPr>
          </w:p>
        </w:tc>
        <w:tc>
          <w:tcPr>
            <w:tcW w:w="1698" w:type="dxa"/>
          </w:tcPr>
          <w:p w14:paraId="5C459BC2" w14:textId="0956D216" w:rsidR="001B6498" w:rsidRPr="007306D0" w:rsidRDefault="001B6498" w:rsidP="00991210">
            <w:pPr>
              <w:rPr>
                <w:lang w:bidi="en-US"/>
              </w:rPr>
            </w:pPr>
          </w:p>
        </w:tc>
        <w:tc>
          <w:tcPr>
            <w:tcW w:w="1811" w:type="dxa"/>
          </w:tcPr>
          <w:p w14:paraId="322B8DA7" w14:textId="0E9871EA" w:rsidR="001B6498" w:rsidRPr="007306D0" w:rsidRDefault="001B6498" w:rsidP="00991210">
            <w:pPr>
              <w:rPr>
                <w:lang w:bidi="en-US"/>
              </w:rPr>
            </w:pPr>
          </w:p>
        </w:tc>
      </w:tr>
      <w:tr w:rsidR="001B6498" w:rsidRPr="007306D0" w14:paraId="39AC202E" w14:textId="77777777" w:rsidTr="001B6498">
        <w:trPr>
          <w:trHeight w:val="43"/>
        </w:trPr>
        <w:tc>
          <w:tcPr>
            <w:tcW w:w="2057" w:type="dxa"/>
          </w:tcPr>
          <w:p w14:paraId="5414716B" w14:textId="04CE9392" w:rsidR="001B6498" w:rsidRPr="007306D0" w:rsidRDefault="001B6498" w:rsidP="00991210">
            <w:pPr>
              <w:rPr>
                <w:bCs/>
                <w:lang w:bidi="en-US"/>
              </w:rPr>
            </w:pPr>
          </w:p>
        </w:tc>
        <w:tc>
          <w:tcPr>
            <w:tcW w:w="3788" w:type="dxa"/>
          </w:tcPr>
          <w:p w14:paraId="30D51368" w14:textId="701C329D" w:rsidR="001B6498" w:rsidRPr="007306D0" w:rsidRDefault="001B6498" w:rsidP="001B6498">
            <w:pPr>
              <w:rPr>
                <w:lang w:bidi="en-US"/>
              </w:rPr>
            </w:pPr>
          </w:p>
        </w:tc>
        <w:tc>
          <w:tcPr>
            <w:tcW w:w="1698" w:type="dxa"/>
          </w:tcPr>
          <w:p w14:paraId="7956544B" w14:textId="4735A588" w:rsidR="001B6498" w:rsidRPr="007306D0" w:rsidRDefault="001B6498" w:rsidP="00991210">
            <w:pPr>
              <w:rPr>
                <w:lang w:bidi="en-US"/>
              </w:rPr>
            </w:pPr>
          </w:p>
        </w:tc>
        <w:tc>
          <w:tcPr>
            <w:tcW w:w="1811" w:type="dxa"/>
          </w:tcPr>
          <w:p w14:paraId="7FECC770" w14:textId="0A3C5280" w:rsidR="001B6498" w:rsidRPr="007306D0" w:rsidRDefault="001B6498" w:rsidP="00991210">
            <w:pPr>
              <w:rPr>
                <w:lang w:bidi="en-US"/>
              </w:rPr>
            </w:pPr>
          </w:p>
        </w:tc>
      </w:tr>
      <w:tr w:rsidR="001B6498" w:rsidRPr="007306D0" w14:paraId="44EF95C0" w14:textId="77777777" w:rsidTr="001B6498">
        <w:trPr>
          <w:trHeight w:val="43"/>
        </w:trPr>
        <w:tc>
          <w:tcPr>
            <w:tcW w:w="2057" w:type="dxa"/>
          </w:tcPr>
          <w:p w14:paraId="18DA34D5" w14:textId="704F8DF7" w:rsidR="001B6498" w:rsidRPr="007306D0" w:rsidRDefault="001B6498" w:rsidP="00991210">
            <w:pPr>
              <w:rPr>
                <w:bCs/>
                <w:lang w:bidi="en-US"/>
              </w:rPr>
            </w:pPr>
          </w:p>
        </w:tc>
        <w:tc>
          <w:tcPr>
            <w:tcW w:w="3788" w:type="dxa"/>
          </w:tcPr>
          <w:p w14:paraId="06298A34" w14:textId="7BBF2DDE" w:rsidR="001B6498" w:rsidRPr="007306D0" w:rsidRDefault="001B6498" w:rsidP="00991210">
            <w:pPr>
              <w:rPr>
                <w:lang w:bidi="en-US"/>
              </w:rPr>
            </w:pPr>
          </w:p>
        </w:tc>
        <w:tc>
          <w:tcPr>
            <w:tcW w:w="1698" w:type="dxa"/>
          </w:tcPr>
          <w:p w14:paraId="02A79090" w14:textId="4A5D6381" w:rsidR="001B6498" w:rsidRPr="007306D0" w:rsidRDefault="001B6498" w:rsidP="00991210">
            <w:pPr>
              <w:rPr>
                <w:lang w:bidi="en-US"/>
              </w:rPr>
            </w:pPr>
          </w:p>
        </w:tc>
        <w:tc>
          <w:tcPr>
            <w:tcW w:w="1811" w:type="dxa"/>
          </w:tcPr>
          <w:p w14:paraId="7161831B" w14:textId="5D0CAD33" w:rsidR="001B6498" w:rsidRPr="007306D0" w:rsidRDefault="001B6498" w:rsidP="00991210">
            <w:pPr>
              <w:rPr>
                <w:lang w:bidi="en-US"/>
              </w:rPr>
            </w:pPr>
          </w:p>
        </w:tc>
      </w:tr>
      <w:tr w:rsidR="001B6498" w:rsidRPr="007306D0" w14:paraId="24C4EDFF" w14:textId="77777777" w:rsidTr="00991210">
        <w:trPr>
          <w:trHeight w:val="268"/>
        </w:trPr>
        <w:tc>
          <w:tcPr>
            <w:tcW w:w="2057" w:type="dxa"/>
          </w:tcPr>
          <w:p w14:paraId="3650C9BB" w14:textId="77777777" w:rsidR="001B6498" w:rsidRPr="007306D0" w:rsidRDefault="001B6498" w:rsidP="00991210">
            <w:pPr>
              <w:rPr>
                <w:lang w:bidi="en-US"/>
              </w:rPr>
            </w:pPr>
          </w:p>
        </w:tc>
        <w:tc>
          <w:tcPr>
            <w:tcW w:w="3788" w:type="dxa"/>
          </w:tcPr>
          <w:p w14:paraId="5457E2C0" w14:textId="77777777" w:rsidR="001B6498" w:rsidRPr="007306D0" w:rsidRDefault="001B6498" w:rsidP="00991210">
            <w:pPr>
              <w:rPr>
                <w:lang w:bidi="en-US"/>
              </w:rPr>
            </w:pPr>
          </w:p>
        </w:tc>
        <w:tc>
          <w:tcPr>
            <w:tcW w:w="1698" w:type="dxa"/>
          </w:tcPr>
          <w:p w14:paraId="4AA2B518" w14:textId="77777777" w:rsidR="001B6498" w:rsidRPr="007306D0" w:rsidRDefault="001B6498" w:rsidP="00991210">
            <w:pPr>
              <w:rPr>
                <w:b/>
                <w:lang w:bidi="en-US"/>
              </w:rPr>
            </w:pPr>
            <w:r w:rsidRPr="007306D0">
              <w:rPr>
                <w:b/>
                <w:lang w:bidi="en-US"/>
              </w:rPr>
              <w:t>TOTAL</w:t>
            </w:r>
          </w:p>
        </w:tc>
        <w:tc>
          <w:tcPr>
            <w:tcW w:w="1811" w:type="dxa"/>
          </w:tcPr>
          <w:p w14:paraId="5F0A2F49" w14:textId="548DC007" w:rsidR="001B6498" w:rsidRPr="007306D0" w:rsidRDefault="001B6498" w:rsidP="00991210">
            <w:pPr>
              <w:rPr>
                <w:b/>
                <w:lang w:bidi="en-US"/>
              </w:rPr>
            </w:pPr>
            <w:r>
              <w:rPr>
                <w:b/>
                <w:lang w:bidi="en-US"/>
              </w:rPr>
              <w:t>XX</w:t>
            </w:r>
          </w:p>
        </w:tc>
      </w:tr>
    </w:tbl>
    <w:p w14:paraId="31EB0762" w14:textId="77777777" w:rsidR="001B6498" w:rsidRPr="007306D0" w:rsidRDefault="001B6498" w:rsidP="001B6498">
      <w:pPr>
        <w:pStyle w:val="Heading2"/>
      </w:pPr>
      <w:r>
        <w:t>C</w:t>
      </w:r>
      <w:r w:rsidRPr="007306D0">
        <w:t>OA Standards</w:t>
      </w:r>
    </w:p>
    <w:tbl>
      <w:tblPr>
        <w:tblStyle w:val="TableGrid"/>
        <w:tblW w:w="9357" w:type="dxa"/>
        <w:tblLayout w:type="fixed"/>
        <w:tblLook w:val="01E0" w:firstRow="1" w:lastRow="1" w:firstColumn="1" w:lastColumn="1" w:noHBand="0" w:noVBand="0"/>
      </w:tblPr>
      <w:tblGrid>
        <w:gridCol w:w="2066"/>
        <w:gridCol w:w="3961"/>
        <w:gridCol w:w="1529"/>
        <w:gridCol w:w="1801"/>
      </w:tblGrid>
      <w:tr w:rsidR="001B6498" w:rsidRPr="007306D0" w14:paraId="43B4E864" w14:textId="77777777" w:rsidTr="00991210">
        <w:trPr>
          <w:trHeight w:val="1075"/>
        </w:trPr>
        <w:tc>
          <w:tcPr>
            <w:tcW w:w="2066" w:type="dxa"/>
            <w:shd w:val="clear" w:color="auto" w:fill="AB0420"/>
          </w:tcPr>
          <w:p w14:paraId="208719D6" w14:textId="77777777" w:rsidR="001B6498" w:rsidRPr="007306D0" w:rsidRDefault="001B6498" w:rsidP="00991210">
            <w:pPr>
              <w:pStyle w:val="TableH4"/>
            </w:pPr>
            <w:r w:rsidRPr="007306D0">
              <w:t>COA Standard</w:t>
            </w:r>
          </w:p>
        </w:tc>
        <w:tc>
          <w:tcPr>
            <w:tcW w:w="3961" w:type="dxa"/>
            <w:shd w:val="clear" w:color="auto" w:fill="AB0420"/>
          </w:tcPr>
          <w:p w14:paraId="79F6FB68" w14:textId="77777777" w:rsidR="001B6498" w:rsidRPr="007306D0" w:rsidRDefault="001B6498" w:rsidP="00991210">
            <w:pPr>
              <w:pStyle w:val="TableH4"/>
            </w:pPr>
            <w:r w:rsidRPr="007306D0">
              <w:t>Expected Learning Outcome</w:t>
            </w:r>
          </w:p>
        </w:tc>
        <w:tc>
          <w:tcPr>
            <w:tcW w:w="1529" w:type="dxa"/>
            <w:shd w:val="clear" w:color="auto" w:fill="AB0420"/>
          </w:tcPr>
          <w:p w14:paraId="1317CEBA" w14:textId="77777777" w:rsidR="001B6498" w:rsidRPr="007306D0" w:rsidRDefault="001B6498" w:rsidP="00991210">
            <w:pPr>
              <w:pStyle w:val="TableH4"/>
            </w:pPr>
            <w:r w:rsidRPr="007306D0">
              <w:t>Associated Course Activities</w:t>
            </w:r>
          </w:p>
        </w:tc>
        <w:tc>
          <w:tcPr>
            <w:tcW w:w="1801" w:type="dxa"/>
            <w:shd w:val="clear" w:color="auto" w:fill="AB0420"/>
          </w:tcPr>
          <w:p w14:paraId="1362787C" w14:textId="77777777" w:rsidR="001B6498" w:rsidRPr="007306D0" w:rsidRDefault="001B6498" w:rsidP="00991210">
            <w:pPr>
              <w:pStyle w:val="TableH4"/>
            </w:pPr>
            <w:r w:rsidRPr="007306D0">
              <w:t>Number of Hours</w:t>
            </w:r>
          </w:p>
        </w:tc>
      </w:tr>
      <w:tr w:rsidR="001B6498" w:rsidRPr="007306D0" w14:paraId="66ED4978" w14:textId="77777777" w:rsidTr="001B6498">
        <w:trPr>
          <w:trHeight w:val="43"/>
        </w:trPr>
        <w:tc>
          <w:tcPr>
            <w:tcW w:w="2066" w:type="dxa"/>
          </w:tcPr>
          <w:p w14:paraId="0E4418C7" w14:textId="4DF6795C" w:rsidR="001B6498" w:rsidRPr="007306D0" w:rsidRDefault="001B6498" w:rsidP="00991210">
            <w:pPr>
              <w:rPr>
                <w:lang w:bidi="en-US"/>
              </w:rPr>
            </w:pPr>
          </w:p>
        </w:tc>
        <w:tc>
          <w:tcPr>
            <w:tcW w:w="3961" w:type="dxa"/>
          </w:tcPr>
          <w:p w14:paraId="33B7AA3D" w14:textId="326B0047" w:rsidR="001B6498" w:rsidRPr="007306D0" w:rsidRDefault="001B6498" w:rsidP="001B6498">
            <w:pPr>
              <w:rPr>
                <w:lang w:bidi="en-US"/>
              </w:rPr>
            </w:pPr>
          </w:p>
        </w:tc>
        <w:tc>
          <w:tcPr>
            <w:tcW w:w="1529" w:type="dxa"/>
          </w:tcPr>
          <w:p w14:paraId="280AA58D" w14:textId="5D2D6AE7" w:rsidR="001B6498" w:rsidRPr="007306D0" w:rsidRDefault="001B6498" w:rsidP="00991210"/>
        </w:tc>
        <w:tc>
          <w:tcPr>
            <w:tcW w:w="1801" w:type="dxa"/>
          </w:tcPr>
          <w:p w14:paraId="3B7DDF53" w14:textId="01921B49" w:rsidR="001B6498" w:rsidRPr="007306D0" w:rsidRDefault="001B6498" w:rsidP="00991210"/>
        </w:tc>
      </w:tr>
      <w:tr w:rsidR="001B6498" w:rsidRPr="007306D0" w14:paraId="77F3E164" w14:textId="77777777" w:rsidTr="001B6498">
        <w:trPr>
          <w:trHeight w:val="43"/>
        </w:trPr>
        <w:tc>
          <w:tcPr>
            <w:tcW w:w="2066" w:type="dxa"/>
          </w:tcPr>
          <w:p w14:paraId="38286406" w14:textId="71811F13" w:rsidR="001B6498" w:rsidRPr="007306D0" w:rsidRDefault="001B6498" w:rsidP="00991210">
            <w:pPr>
              <w:rPr>
                <w:lang w:bidi="en-US"/>
              </w:rPr>
            </w:pPr>
          </w:p>
        </w:tc>
        <w:tc>
          <w:tcPr>
            <w:tcW w:w="3961" w:type="dxa"/>
          </w:tcPr>
          <w:p w14:paraId="41A4D405" w14:textId="34B727DD" w:rsidR="001B6498" w:rsidRPr="007306D0" w:rsidRDefault="001B6498" w:rsidP="001B6498">
            <w:pPr>
              <w:rPr>
                <w:lang w:bidi="en-US"/>
              </w:rPr>
            </w:pPr>
          </w:p>
        </w:tc>
        <w:tc>
          <w:tcPr>
            <w:tcW w:w="1529" w:type="dxa"/>
          </w:tcPr>
          <w:p w14:paraId="6B668EE4" w14:textId="77777777" w:rsidR="001B6498" w:rsidRPr="007306D0" w:rsidRDefault="001B6498" w:rsidP="00991210">
            <w:pPr>
              <w:rPr>
                <w:lang w:bidi="en-US"/>
              </w:rPr>
            </w:pPr>
          </w:p>
        </w:tc>
        <w:tc>
          <w:tcPr>
            <w:tcW w:w="1801" w:type="dxa"/>
          </w:tcPr>
          <w:p w14:paraId="5884C12E" w14:textId="77777777" w:rsidR="001B6498" w:rsidRPr="007306D0" w:rsidRDefault="001B6498" w:rsidP="00991210">
            <w:pPr>
              <w:rPr>
                <w:lang w:bidi="en-US"/>
              </w:rPr>
            </w:pPr>
          </w:p>
        </w:tc>
      </w:tr>
      <w:tr w:rsidR="001B6498" w:rsidRPr="007306D0" w14:paraId="75594D58" w14:textId="77777777" w:rsidTr="001B6498">
        <w:trPr>
          <w:trHeight w:val="43"/>
        </w:trPr>
        <w:tc>
          <w:tcPr>
            <w:tcW w:w="2066" w:type="dxa"/>
          </w:tcPr>
          <w:p w14:paraId="621AB7CE" w14:textId="77AFEFC7" w:rsidR="001B6498" w:rsidRPr="007306D0" w:rsidRDefault="001B6498" w:rsidP="00991210">
            <w:pPr>
              <w:rPr>
                <w:lang w:bidi="en-US"/>
              </w:rPr>
            </w:pPr>
          </w:p>
        </w:tc>
        <w:tc>
          <w:tcPr>
            <w:tcW w:w="3961" w:type="dxa"/>
          </w:tcPr>
          <w:p w14:paraId="1558253F" w14:textId="2DD5A1E1" w:rsidR="001B6498" w:rsidRPr="007306D0" w:rsidRDefault="001B6498" w:rsidP="001B6498">
            <w:pPr>
              <w:rPr>
                <w:lang w:bidi="en-US"/>
              </w:rPr>
            </w:pPr>
          </w:p>
        </w:tc>
        <w:tc>
          <w:tcPr>
            <w:tcW w:w="1529" w:type="dxa"/>
          </w:tcPr>
          <w:p w14:paraId="2BF862FA" w14:textId="6227D9A6" w:rsidR="001B6498" w:rsidRPr="007306D0" w:rsidRDefault="001B6498" w:rsidP="00991210">
            <w:pPr>
              <w:rPr>
                <w:lang w:bidi="en-US"/>
              </w:rPr>
            </w:pPr>
          </w:p>
        </w:tc>
        <w:tc>
          <w:tcPr>
            <w:tcW w:w="1801" w:type="dxa"/>
          </w:tcPr>
          <w:p w14:paraId="72F9D47A" w14:textId="7A42724C" w:rsidR="001B6498" w:rsidRPr="007306D0" w:rsidRDefault="001B6498" w:rsidP="00991210">
            <w:pPr>
              <w:rPr>
                <w:lang w:bidi="en-US"/>
              </w:rPr>
            </w:pPr>
          </w:p>
        </w:tc>
      </w:tr>
      <w:tr w:rsidR="001B6498" w:rsidRPr="007306D0" w14:paraId="1DF4507E" w14:textId="77777777" w:rsidTr="001B6498">
        <w:trPr>
          <w:trHeight w:val="43"/>
        </w:trPr>
        <w:tc>
          <w:tcPr>
            <w:tcW w:w="2066" w:type="dxa"/>
          </w:tcPr>
          <w:p w14:paraId="7DF92113" w14:textId="515D102D" w:rsidR="001B6498" w:rsidRPr="007306D0" w:rsidRDefault="001B6498" w:rsidP="00991210">
            <w:pPr>
              <w:rPr>
                <w:lang w:bidi="en-US"/>
              </w:rPr>
            </w:pPr>
          </w:p>
        </w:tc>
        <w:tc>
          <w:tcPr>
            <w:tcW w:w="3961" w:type="dxa"/>
          </w:tcPr>
          <w:p w14:paraId="3FFD902D" w14:textId="613BE214" w:rsidR="001B6498" w:rsidRPr="007306D0" w:rsidRDefault="001B6498" w:rsidP="00991210">
            <w:pPr>
              <w:rPr>
                <w:lang w:bidi="en-US"/>
              </w:rPr>
            </w:pPr>
          </w:p>
        </w:tc>
        <w:tc>
          <w:tcPr>
            <w:tcW w:w="1529" w:type="dxa"/>
          </w:tcPr>
          <w:p w14:paraId="7D90DD52" w14:textId="77777777" w:rsidR="001B6498" w:rsidRPr="007306D0" w:rsidRDefault="001B6498" w:rsidP="00991210">
            <w:pPr>
              <w:rPr>
                <w:lang w:bidi="en-US"/>
              </w:rPr>
            </w:pPr>
          </w:p>
        </w:tc>
        <w:tc>
          <w:tcPr>
            <w:tcW w:w="1801" w:type="dxa"/>
          </w:tcPr>
          <w:p w14:paraId="39877DDD" w14:textId="6AFF5A66" w:rsidR="001B6498" w:rsidRPr="007306D0" w:rsidRDefault="001B6498" w:rsidP="00991210">
            <w:pPr>
              <w:rPr>
                <w:i/>
                <w:lang w:bidi="en-US"/>
              </w:rPr>
            </w:pPr>
          </w:p>
        </w:tc>
      </w:tr>
    </w:tbl>
    <w:p w14:paraId="40C0B702" w14:textId="77777777" w:rsidR="001B6498" w:rsidRPr="007306D0" w:rsidRDefault="001B6498" w:rsidP="001B6498">
      <w:pPr>
        <w:rPr>
          <w:lang w:bidi="en-US"/>
        </w:rPr>
      </w:pPr>
    </w:p>
    <w:p w14:paraId="3C399B46" w14:textId="77777777" w:rsidR="001B6498" w:rsidRDefault="001B6498" w:rsidP="001B6498"/>
    <w:p w14:paraId="204548DE" w14:textId="77777777" w:rsidR="00AB4451" w:rsidRDefault="00AB4451" w:rsidP="0098110F"/>
    <w:sectPr w:rsidR="00AB4451" w:rsidSect="00C4008F">
      <w:headerReference w:type="default" r:id="rId13"/>
      <w:footerReference w:type="default" r:id="rId14"/>
      <w:pgSz w:w="12240" w:h="15840"/>
      <w:pgMar w:top="18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6E474" w14:textId="77777777" w:rsidR="00954AED" w:rsidRDefault="00954AED" w:rsidP="00A95B87">
      <w:r>
        <w:separator/>
      </w:r>
    </w:p>
  </w:endnote>
  <w:endnote w:type="continuationSeparator" w:id="0">
    <w:p w14:paraId="10A84222" w14:textId="77777777" w:rsidR="00954AED" w:rsidRDefault="00954AED" w:rsidP="00A9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BBB2" w14:textId="77777777" w:rsidR="006350DD" w:rsidRPr="00622F81" w:rsidRDefault="00AB4451" w:rsidP="004F7525">
    <w:pPr>
      <w:spacing w:before="240"/>
      <w:rPr>
        <w:color w:val="0C234C"/>
        <w:sz w:val="18"/>
        <w:szCs w:val="18"/>
      </w:rPr>
    </w:pPr>
    <w:r w:rsidRPr="00622F81">
      <w:rPr>
        <w:color w:val="0C234C"/>
        <w:sz w:val="18"/>
        <w:szCs w:val="18"/>
      </w:rPr>
      <w:t>Approved by faculty on xx/xx/</w:t>
    </w:r>
    <w:proofErr w:type="spellStart"/>
    <w:r w:rsidRPr="00622F81">
      <w:rPr>
        <w:color w:val="0C234C"/>
        <w:sz w:val="18"/>
        <w:szCs w:val="18"/>
      </w:rPr>
      <w:t>xxxx</w:t>
    </w:r>
    <w:proofErr w:type="spellEnd"/>
    <w:r w:rsidRPr="00622F81">
      <w:rPr>
        <w:color w:val="0C234C"/>
        <w:sz w:val="18"/>
        <w:szCs w:val="18"/>
      </w:rPr>
      <w:t>.</w:t>
    </w:r>
  </w:p>
  <w:p w14:paraId="7E136690" w14:textId="6948E36C" w:rsidR="00AB4451" w:rsidRPr="00622F81" w:rsidRDefault="006350DD" w:rsidP="009F3208">
    <w:pPr>
      <w:spacing w:before="120"/>
      <w:rPr>
        <w:color w:val="0C234C"/>
        <w:sz w:val="18"/>
        <w:szCs w:val="18"/>
      </w:rPr>
    </w:pPr>
    <w:r w:rsidRPr="00622F81">
      <w:rPr>
        <w:i/>
        <w:iCs/>
        <w:color w:val="0C234C"/>
        <w:sz w:val="18"/>
        <w:szCs w:val="18"/>
      </w:rPr>
      <w:t>Information contained in the course syllabus, other than the grade and absence policy, may be subject to change with advance notice, as deemed appropriate by the instructor.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79495" w14:textId="77777777" w:rsidR="00954AED" w:rsidRDefault="00954AED" w:rsidP="00A95B87">
      <w:r>
        <w:separator/>
      </w:r>
    </w:p>
  </w:footnote>
  <w:footnote w:type="continuationSeparator" w:id="0">
    <w:p w14:paraId="6AF6E80F" w14:textId="77777777" w:rsidR="00954AED" w:rsidRDefault="00954AED" w:rsidP="00A9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EA12" w14:textId="0CB2C880" w:rsidR="00A95B87" w:rsidRDefault="00A95B87">
    <w:pPr>
      <w:pStyle w:val="Header"/>
    </w:pPr>
    <w:r>
      <w:rPr>
        <w:noProof/>
      </w:rPr>
      <w:drawing>
        <wp:inline distT="0" distB="0" distL="0" distR="0" wp14:anchorId="41C29AC3" wp14:editId="3EFAB6D1">
          <wp:extent cx="1828800" cy="337234"/>
          <wp:effectExtent l="0" t="0" r="0" b="5715"/>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5939" cy="4289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6436D"/>
    <w:multiLevelType w:val="hybridMultilevel"/>
    <w:tmpl w:val="CC7E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62C2E"/>
    <w:multiLevelType w:val="hybridMultilevel"/>
    <w:tmpl w:val="5706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04DA3"/>
    <w:multiLevelType w:val="hybridMultilevel"/>
    <w:tmpl w:val="3138B1E2"/>
    <w:lvl w:ilvl="0" w:tplc="A5809C08">
      <w:start w:val="1"/>
      <w:numFmt w:val="decimal"/>
      <w:lvlText w:val="%1."/>
      <w:lvlJc w:val="left"/>
      <w:pPr>
        <w:ind w:left="105" w:hanging="219"/>
      </w:pPr>
      <w:rPr>
        <w:rFonts w:ascii="Calibri" w:eastAsia="Calibri" w:hAnsi="Calibri" w:cs="Calibri" w:hint="default"/>
        <w:w w:val="100"/>
        <w:sz w:val="22"/>
        <w:szCs w:val="22"/>
        <w:lang w:val="en-US" w:eastAsia="en-US" w:bidi="en-US"/>
      </w:rPr>
    </w:lvl>
    <w:lvl w:ilvl="1" w:tplc="4524D6EC">
      <w:numFmt w:val="bullet"/>
      <w:lvlText w:val="•"/>
      <w:lvlJc w:val="left"/>
      <w:pPr>
        <w:ind w:left="485" w:hanging="219"/>
      </w:pPr>
      <w:rPr>
        <w:rFonts w:hint="default"/>
        <w:lang w:val="en-US" w:eastAsia="en-US" w:bidi="en-US"/>
      </w:rPr>
    </w:lvl>
    <w:lvl w:ilvl="2" w:tplc="DB781E64">
      <w:numFmt w:val="bullet"/>
      <w:lvlText w:val="•"/>
      <w:lvlJc w:val="left"/>
      <w:pPr>
        <w:ind w:left="870" w:hanging="219"/>
      </w:pPr>
      <w:rPr>
        <w:rFonts w:hint="default"/>
        <w:lang w:val="en-US" w:eastAsia="en-US" w:bidi="en-US"/>
      </w:rPr>
    </w:lvl>
    <w:lvl w:ilvl="3" w:tplc="36CECB54">
      <w:numFmt w:val="bullet"/>
      <w:lvlText w:val="•"/>
      <w:lvlJc w:val="left"/>
      <w:pPr>
        <w:ind w:left="1255" w:hanging="219"/>
      </w:pPr>
      <w:rPr>
        <w:rFonts w:hint="default"/>
        <w:lang w:val="en-US" w:eastAsia="en-US" w:bidi="en-US"/>
      </w:rPr>
    </w:lvl>
    <w:lvl w:ilvl="4" w:tplc="E36665D4">
      <w:numFmt w:val="bullet"/>
      <w:lvlText w:val="•"/>
      <w:lvlJc w:val="left"/>
      <w:pPr>
        <w:ind w:left="1640" w:hanging="219"/>
      </w:pPr>
      <w:rPr>
        <w:rFonts w:hint="default"/>
        <w:lang w:val="en-US" w:eastAsia="en-US" w:bidi="en-US"/>
      </w:rPr>
    </w:lvl>
    <w:lvl w:ilvl="5" w:tplc="112E4E8E">
      <w:numFmt w:val="bullet"/>
      <w:lvlText w:val="•"/>
      <w:lvlJc w:val="left"/>
      <w:pPr>
        <w:ind w:left="2025" w:hanging="219"/>
      </w:pPr>
      <w:rPr>
        <w:rFonts w:hint="default"/>
        <w:lang w:val="en-US" w:eastAsia="en-US" w:bidi="en-US"/>
      </w:rPr>
    </w:lvl>
    <w:lvl w:ilvl="6" w:tplc="1F4E765E">
      <w:numFmt w:val="bullet"/>
      <w:lvlText w:val="•"/>
      <w:lvlJc w:val="left"/>
      <w:pPr>
        <w:ind w:left="2410" w:hanging="219"/>
      </w:pPr>
      <w:rPr>
        <w:rFonts w:hint="default"/>
        <w:lang w:val="en-US" w:eastAsia="en-US" w:bidi="en-US"/>
      </w:rPr>
    </w:lvl>
    <w:lvl w:ilvl="7" w:tplc="61C2C7CC">
      <w:numFmt w:val="bullet"/>
      <w:lvlText w:val="•"/>
      <w:lvlJc w:val="left"/>
      <w:pPr>
        <w:ind w:left="2795" w:hanging="219"/>
      </w:pPr>
      <w:rPr>
        <w:rFonts w:hint="default"/>
        <w:lang w:val="en-US" w:eastAsia="en-US" w:bidi="en-US"/>
      </w:rPr>
    </w:lvl>
    <w:lvl w:ilvl="8" w:tplc="80A48270">
      <w:numFmt w:val="bullet"/>
      <w:lvlText w:val="•"/>
      <w:lvlJc w:val="left"/>
      <w:pPr>
        <w:ind w:left="3180" w:hanging="219"/>
      </w:pPr>
      <w:rPr>
        <w:rFonts w:hint="default"/>
        <w:lang w:val="en-US" w:eastAsia="en-US" w:bidi="en-US"/>
      </w:rPr>
    </w:lvl>
  </w:abstractNum>
  <w:abstractNum w:abstractNumId="3" w15:restartNumberingAfterBreak="0">
    <w:nsid w:val="12F855AA"/>
    <w:multiLevelType w:val="hybridMultilevel"/>
    <w:tmpl w:val="C3FC57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6D72AF"/>
    <w:multiLevelType w:val="hybridMultilevel"/>
    <w:tmpl w:val="C336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A4C53"/>
    <w:multiLevelType w:val="hybridMultilevel"/>
    <w:tmpl w:val="8E8C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E3BA4"/>
    <w:multiLevelType w:val="hybridMultilevel"/>
    <w:tmpl w:val="92961FDE"/>
    <w:lvl w:ilvl="0" w:tplc="037CFC5E">
      <w:start w:val="1"/>
      <w:numFmt w:val="decimal"/>
      <w:lvlText w:val="%1."/>
      <w:lvlJc w:val="left"/>
      <w:pPr>
        <w:ind w:left="324" w:hanging="219"/>
      </w:pPr>
      <w:rPr>
        <w:rFonts w:ascii="Calibri" w:eastAsia="Calibri" w:hAnsi="Calibri" w:cs="Calibri" w:hint="default"/>
        <w:w w:val="100"/>
        <w:sz w:val="22"/>
        <w:szCs w:val="22"/>
        <w:lang w:val="en-US" w:eastAsia="en-US" w:bidi="en-US"/>
      </w:rPr>
    </w:lvl>
    <w:lvl w:ilvl="1" w:tplc="3B1E765A">
      <w:numFmt w:val="bullet"/>
      <w:lvlText w:val="•"/>
      <w:lvlJc w:val="left"/>
      <w:pPr>
        <w:ind w:left="683" w:hanging="219"/>
      </w:pPr>
      <w:rPr>
        <w:rFonts w:hint="default"/>
        <w:lang w:val="en-US" w:eastAsia="en-US" w:bidi="en-US"/>
      </w:rPr>
    </w:lvl>
    <w:lvl w:ilvl="2" w:tplc="C114B6DE">
      <w:numFmt w:val="bullet"/>
      <w:lvlText w:val="•"/>
      <w:lvlJc w:val="left"/>
      <w:pPr>
        <w:ind w:left="1046" w:hanging="219"/>
      </w:pPr>
      <w:rPr>
        <w:rFonts w:hint="default"/>
        <w:lang w:val="en-US" w:eastAsia="en-US" w:bidi="en-US"/>
      </w:rPr>
    </w:lvl>
    <w:lvl w:ilvl="3" w:tplc="D81C3EEC">
      <w:numFmt w:val="bullet"/>
      <w:lvlText w:val="•"/>
      <w:lvlJc w:val="left"/>
      <w:pPr>
        <w:ind w:left="1409" w:hanging="219"/>
      </w:pPr>
      <w:rPr>
        <w:rFonts w:hint="default"/>
        <w:lang w:val="en-US" w:eastAsia="en-US" w:bidi="en-US"/>
      </w:rPr>
    </w:lvl>
    <w:lvl w:ilvl="4" w:tplc="4300ED48">
      <w:numFmt w:val="bullet"/>
      <w:lvlText w:val="•"/>
      <w:lvlJc w:val="left"/>
      <w:pPr>
        <w:ind w:left="1772" w:hanging="219"/>
      </w:pPr>
      <w:rPr>
        <w:rFonts w:hint="default"/>
        <w:lang w:val="en-US" w:eastAsia="en-US" w:bidi="en-US"/>
      </w:rPr>
    </w:lvl>
    <w:lvl w:ilvl="5" w:tplc="9A2048EC">
      <w:numFmt w:val="bullet"/>
      <w:lvlText w:val="•"/>
      <w:lvlJc w:val="left"/>
      <w:pPr>
        <w:ind w:left="2135" w:hanging="219"/>
      </w:pPr>
      <w:rPr>
        <w:rFonts w:hint="default"/>
        <w:lang w:val="en-US" w:eastAsia="en-US" w:bidi="en-US"/>
      </w:rPr>
    </w:lvl>
    <w:lvl w:ilvl="6" w:tplc="EDFEBFB2">
      <w:numFmt w:val="bullet"/>
      <w:lvlText w:val="•"/>
      <w:lvlJc w:val="left"/>
      <w:pPr>
        <w:ind w:left="2498" w:hanging="219"/>
      </w:pPr>
      <w:rPr>
        <w:rFonts w:hint="default"/>
        <w:lang w:val="en-US" w:eastAsia="en-US" w:bidi="en-US"/>
      </w:rPr>
    </w:lvl>
    <w:lvl w:ilvl="7" w:tplc="8D3223BC">
      <w:numFmt w:val="bullet"/>
      <w:lvlText w:val="•"/>
      <w:lvlJc w:val="left"/>
      <w:pPr>
        <w:ind w:left="2861" w:hanging="219"/>
      </w:pPr>
      <w:rPr>
        <w:rFonts w:hint="default"/>
        <w:lang w:val="en-US" w:eastAsia="en-US" w:bidi="en-US"/>
      </w:rPr>
    </w:lvl>
    <w:lvl w:ilvl="8" w:tplc="4860EA88">
      <w:numFmt w:val="bullet"/>
      <w:lvlText w:val="•"/>
      <w:lvlJc w:val="left"/>
      <w:pPr>
        <w:ind w:left="3224" w:hanging="219"/>
      </w:pPr>
      <w:rPr>
        <w:rFonts w:hint="default"/>
        <w:lang w:val="en-US" w:eastAsia="en-US" w:bidi="en-US"/>
      </w:rPr>
    </w:lvl>
  </w:abstractNum>
  <w:abstractNum w:abstractNumId="7" w15:restartNumberingAfterBreak="0">
    <w:nsid w:val="338E0333"/>
    <w:multiLevelType w:val="hybridMultilevel"/>
    <w:tmpl w:val="C0F4E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13062"/>
    <w:multiLevelType w:val="hybridMultilevel"/>
    <w:tmpl w:val="C6BA6BA4"/>
    <w:lvl w:ilvl="0" w:tplc="CB424592">
      <w:start w:val="1"/>
      <w:numFmt w:val="decimal"/>
      <w:lvlText w:val="%1."/>
      <w:lvlJc w:val="left"/>
      <w:pPr>
        <w:ind w:left="107" w:hanging="219"/>
      </w:pPr>
      <w:rPr>
        <w:rFonts w:ascii="Calibri" w:eastAsia="Calibri" w:hAnsi="Calibri" w:cs="Calibri" w:hint="default"/>
        <w:w w:val="100"/>
        <w:sz w:val="22"/>
        <w:szCs w:val="22"/>
        <w:lang w:val="en-US" w:eastAsia="en-US" w:bidi="en-US"/>
      </w:rPr>
    </w:lvl>
    <w:lvl w:ilvl="1" w:tplc="81AAB91E">
      <w:numFmt w:val="bullet"/>
      <w:lvlText w:val="•"/>
      <w:lvlJc w:val="left"/>
      <w:pPr>
        <w:ind w:left="489" w:hanging="219"/>
      </w:pPr>
      <w:rPr>
        <w:rFonts w:hint="default"/>
        <w:lang w:val="en-US" w:eastAsia="en-US" w:bidi="en-US"/>
      </w:rPr>
    </w:lvl>
    <w:lvl w:ilvl="2" w:tplc="583A2B7C">
      <w:numFmt w:val="bullet"/>
      <w:lvlText w:val="•"/>
      <w:lvlJc w:val="left"/>
      <w:pPr>
        <w:ind w:left="879" w:hanging="219"/>
      </w:pPr>
      <w:rPr>
        <w:rFonts w:hint="default"/>
        <w:lang w:val="en-US" w:eastAsia="en-US" w:bidi="en-US"/>
      </w:rPr>
    </w:lvl>
    <w:lvl w:ilvl="3" w:tplc="96805334">
      <w:numFmt w:val="bullet"/>
      <w:lvlText w:val="•"/>
      <w:lvlJc w:val="left"/>
      <w:pPr>
        <w:ind w:left="1269" w:hanging="219"/>
      </w:pPr>
      <w:rPr>
        <w:rFonts w:hint="default"/>
        <w:lang w:val="en-US" w:eastAsia="en-US" w:bidi="en-US"/>
      </w:rPr>
    </w:lvl>
    <w:lvl w:ilvl="4" w:tplc="7CB6D9A6">
      <w:numFmt w:val="bullet"/>
      <w:lvlText w:val="•"/>
      <w:lvlJc w:val="left"/>
      <w:pPr>
        <w:ind w:left="1658" w:hanging="219"/>
      </w:pPr>
      <w:rPr>
        <w:rFonts w:hint="default"/>
        <w:lang w:val="en-US" w:eastAsia="en-US" w:bidi="en-US"/>
      </w:rPr>
    </w:lvl>
    <w:lvl w:ilvl="5" w:tplc="520889B2">
      <w:numFmt w:val="bullet"/>
      <w:lvlText w:val="•"/>
      <w:lvlJc w:val="left"/>
      <w:pPr>
        <w:ind w:left="2048" w:hanging="219"/>
      </w:pPr>
      <w:rPr>
        <w:rFonts w:hint="default"/>
        <w:lang w:val="en-US" w:eastAsia="en-US" w:bidi="en-US"/>
      </w:rPr>
    </w:lvl>
    <w:lvl w:ilvl="6" w:tplc="F398CB90">
      <w:numFmt w:val="bullet"/>
      <w:lvlText w:val="•"/>
      <w:lvlJc w:val="left"/>
      <w:pPr>
        <w:ind w:left="2438" w:hanging="219"/>
      </w:pPr>
      <w:rPr>
        <w:rFonts w:hint="default"/>
        <w:lang w:val="en-US" w:eastAsia="en-US" w:bidi="en-US"/>
      </w:rPr>
    </w:lvl>
    <w:lvl w:ilvl="7" w:tplc="E4505C94">
      <w:numFmt w:val="bullet"/>
      <w:lvlText w:val="•"/>
      <w:lvlJc w:val="left"/>
      <w:pPr>
        <w:ind w:left="2827" w:hanging="219"/>
      </w:pPr>
      <w:rPr>
        <w:rFonts w:hint="default"/>
        <w:lang w:val="en-US" w:eastAsia="en-US" w:bidi="en-US"/>
      </w:rPr>
    </w:lvl>
    <w:lvl w:ilvl="8" w:tplc="F522DCD0">
      <w:numFmt w:val="bullet"/>
      <w:lvlText w:val="•"/>
      <w:lvlJc w:val="left"/>
      <w:pPr>
        <w:ind w:left="3217" w:hanging="219"/>
      </w:pPr>
      <w:rPr>
        <w:rFonts w:hint="default"/>
        <w:lang w:val="en-US" w:eastAsia="en-US" w:bidi="en-US"/>
      </w:rPr>
    </w:lvl>
  </w:abstractNum>
  <w:abstractNum w:abstractNumId="9" w15:restartNumberingAfterBreak="0">
    <w:nsid w:val="3F18406A"/>
    <w:multiLevelType w:val="hybridMultilevel"/>
    <w:tmpl w:val="C3FC5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D1F2C"/>
    <w:multiLevelType w:val="hybridMultilevel"/>
    <w:tmpl w:val="8364FBAA"/>
    <w:lvl w:ilvl="0" w:tplc="71D200F8">
      <w:start w:val="1"/>
      <w:numFmt w:val="bullet"/>
      <w:pStyle w:val="SylNorm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E746E3"/>
    <w:multiLevelType w:val="hybridMultilevel"/>
    <w:tmpl w:val="78CC9444"/>
    <w:lvl w:ilvl="0" w:tplc="717628F0">
      <w:start w:val="1"/>
      <w:numFmt w:val="decimal"/>
      <w:lvlText w:val="%1."/>
      <w:lvlJc w:val="left"/>
      <w:pPr>
        <w:ind w:left="105" w:hanging="219"/>
      </w:pPr>
      <w:rPr>
        <w:rFonts w:ascii="Calibri" w:eastAsia="Calibri" w:hAnsi="Calibri" w:cs="Calibri" w:hint="default"/>
        <w:w w:val="100"/>
        <w:sz w:val="22"/>
        <w:szCs w:val="22"/>
        <w:lang w:val="en-US" w:eastAsia="en-US" w:bidi="en-US"/>
      </w:rPr>
    </w:lvl>
    <w:lvl w:ilvl="1" w:tplc="09A6772E">
      <w:numFmt w:val="bullet"/>
      <w:lvlText w:val="•"/>
      <w:lvlJc w:val="left"/>
      <w:pPr>
        <w:ind w:left="485" w:hanging="219"/>
      </w:pPr>
      <w:rPr>
        <w:rFonts w:hint="default"/>
        <w:lang w:val="en-US" w:eastAsia="en-US" w:bidi="en-US"/>
      </w:rPr>
    </w:lvl>
    <w:lvl w:ilvl="2" w:tplc="A78E9110">
      <w:numFmt w:val="bullet"/>
      <w:lvlText w:val="•"/>
      <w:lvlJc w:val="left"/>
      <w:pPr>
        <w:ind w:left="870" w:hanging="219"/>
      </w:pPr>
      <w:rPr>
        <w:rFonts w:hint="default"/>
        <w:lang w:val="en-US" w:eastAsia="en-US" w:bidi="en-US"/>
      </w:rPr>
    </w:lvl>
    <w:lvl w:ilvl="3" w:tplc="ACB410CE">
      <w:numFmt w:val="bullet"/>
      <w:lvlText w:val="•"/>
      <w:lvlJc w:val="left"/>
      <w:pPr>
        <w:ind w:left="1255" w:hanging="219"/>
      </w:pPr>
      <w:rPr>
        <w:rFonts w:hint="default"/>
        <w:lang w:val="en-US" w:eastAsia="en-US" w:bidi="en-US"/>
      </w:rPr>
    </w:lvl>
    <w:lvl w:ilvl="4" w:tplc="EA58F0EA">
      <w:numFmt w:val="bullet"/>
      <w:lvlText w:val="•"/>
      <w:lvlJc w:val="left"/>
      <w:pPr>
        <w:ind w:left="1640" w:hanging="219"/>
      </w:pPr>
      <w:rPr>
        <w:rFonts w:hint="default"/>
        <w:lang w:val="en-US" w:eastAsia="en-US" w:bidi="en-US"/>
      </w:rPr>
    </w:lvl>
    <w:lvl w:ilvl="5" w:tplc="FEF0FB58">
      <w:numFmt w:val="bullet"/>
      <w:lvlText w:val="•"/>
      <w:lvlJc w:val="left"/>
      <w:pPr>
        <w:ind w:left="2025" w:hanging="219"/>
      </w:pPr>
      <w:rPr>
        <w:rFonts w:hint="default"/>
        <w:lang w:val="en-US" w:eastAsia="en-US" w:bidi="en-US"/>
      </w:rPr>
    </w:lvl>
    <w:lvl w:ilvl="6" w:tplc="137E16B8">
      <w:numFmt w:val="bullet"/>
      <w:lvlText w:val="•"/>
      <w:lvlJc w:val="left"/>
      <w:pPr>
        <w:ind w:left="2410" w:hanging="219"/>
      </w:pPr>
      <w:rPr>
        <w:rFonts w:hint="default"/>
        <w:lang w:val="en-US" w:eastAsia="en-US" w:bidi="en-US"/>
      </w:rPr>
    </w:lvl>
    <w:lvl w:ilvl="7" w:tplc="DBB2CA9E">
      <w:numFmt w:val="bullet"/>
      <w:lvlText w:val="•"/>
      <w:lvlJc w:val="left"/>
      <w:pPr>
        <w:ind w:left="2795" w:hanging="219"/>
      </w:pPr>
      <w:rPr>
        <w:rFonts w:hint="default"/>
        <w:lang w:val="en-US" w:eastAsia="en-US" w:bidi="en-US"/>
      </w:rPr>
    </w:lvl>
    <w:lvl w:ilvl="8" w:tplc="CB66A632">
      <w:numFmt w:val="bullet"/>
      <w:lvlText w:val="•"/>
      <w:lvlJc w:val="left"/>
      <w:pPr>
        <w:ind w:left="3180" w:hanging="219"/>
      </w:pPr>
      <w:rPr>
        <w:rFonts w:hint="default"/>
        <w:lang w:val="en-US" w:eastAsia="en-US" w:bidi="en-US"/>
      </w:rPr>
    </w:lvl>
  </w:abstractNum>
  <w:abstractNum w:abstractNumId="12" w15:restartNumberingAfterBreak="0">
    <w:nsid w:val="6DDF5091"/>
    <w:multiLevelType w:val="hybridMultilevel"/>
    <w:tmpl w:val="1BC83CD8"/>
    <w:lvl w:ilvl="0" w:tplc="4E8E0DD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EC3A33"/>
    <w:multiLevelType w:val="hybridMultilevel"/>
    <w:tmpl w:val="4C023D7C"/>
    <w:lvl w:ilvl="0" w:tplc="871CCA3E">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E00A1"/>
    <w:multiLevelType w:val="hybridMultilevel"/>
    <w:tmpl w:val="9B2437AE"/>
    <w:lvl w:ilvl="0" w:tplc="9E7441DA">
      <w:start w:val="3"/>
      <w:numFmt w:val="decimal"/>
      <w:lvlText w:val="%1."/>
      <w:lvlJc w:val="left"/>
      <w:pPr>
        <w:ind w:left="105" w:hanging="219"/>
      </w:pPr>
      <w:rPr>
        <w:rFonts w:ascii="Calibri" w:eastAsia="Calibri" w:hAnsi="Calibri" w:cs="Calibri" w:hint="default"/>
        <w:w w:val="100"/>
        <w:sz w:val="22"/>
        <w:szCs w:val="22"/>
        <w:lang w:val="en-US" w:eastAsia="en-US" w:bidi="en-US"/>
      </w:rPr>
    </w:lvl>
    <w:lvl w:ilvl="1" w:tplc="B2B086AC">
      <w:numFmt w:val="bullet"/>
      <w:lvlText w:val="•"/>
      <w:lvlJc w:val="left"/>
      <w:pPr>
        <w:ind w:left="485" w:hanging="219"/>
      </w:pPr>
      <w:rPr>
        <w:rFonts w:hint="default"/>
        <w:lang w:val="en-US" w:eastAsia="en-US" w:bidi="en-US"/>
      </w:rPr>
    </w:lvl>
    <w:lvl w:ilvl="2" w:tplc="14043B40">
      <w:numFmt w:val="bullet"/>
      <w:lvlText w:val="•"/>
      <w:lvlJc w:val="left"/>
      <w:pPr>
        <w:ind w:left="870" w:hanging="219"/>
      </w:pPr>
      <w:rPr>
        <w:rFonts w:hint="default"/>
        <w:lang w:val="en-US" w:eastAsia="en-US" w:bidi="en-US"/>
      </w:rPr>
    </w:lvl>
    <w:lvl w:ilvl="3" w:tplc="8BFCB530">
      <w:numFmt w:val="bullet"/>
      <w:lvlText w:val="•"/>
      <w:lvlJc w:val="left"/>
      <w:pPr>
        <w:ind w:left="1255" w:hanging="219"/>
      </w:pPr>
      <w:rPr>
        <w:rFonts w:hint="default"/>
        <w:lang w:val="en-US" w:eastAsia="en-US" w:bidi="en-US"/>
      </w:rPr>
    </w:lvl>
    <w:lvl w:ilvl="4" w:tplc="9FE20C2C">
      <w:numFmt w:val="bullet"/>
      <w:lvlText w:val="•"/>
      <w:lvlJc w:val="left"/>
      <w:pPr>
        <w:ind w:left="1640" w:hanging="219"/>
      </w:pPr>
      <w:rPr>
        <w:rFonts w:hint="default"/>
        <w:lang w:val="en-US" w:eastAsia="en-US" w:bidi="en-US"/>
      </w:rPr>
    </w:lvl>
    <w:lvl w:ilvl="5" w:tplc="3CA2A4CE">
      <w:numFmt w:val="bullet"/>
      <w:lvlText w:val="•"/>
      <w:lvlJc w:val="left"/>
      <w:pPr>
        <w:ind w:left="2025" w:hanging="219"/>
      </w:pPr>
      <w:rPr>
        <w:rFonts w:hint="default"/>
        <w:lang w:val="en-US" w:eastAsia="en-US" w:bidi="en-US"/>
      </w:rPr>
    </w:lvl>
    <w:lvl w:ilvl="6" w:tplc="EEA4B41E">
      <w:numFmt w:val="bullet"/>
      <w:lvlText w:val="•"/>
      <w:lvlJc w:val="left"/>
      <w:pPr>
        <w:ind w:left="2410" w:hanging="219"/>
      </w:pPr>
      <w:rPr>
        <w:rFonts w:hint="default"/>
        <w:lang w:val="en-US" w:eastAsia="en-US" w:bidi="en-US"/>
      </w:rPr>
    </w:lvl>
    <w:lvl w:ilvl="7" w:tplc="7BD4EF98">
      <w:numFmt w:val="bullet"/>
      <w:lvlText w:val="•"/>
      <w:lvlJc w:val="left"/>
      <w:pPr>
        <w:ind w:left="2795" w:hanging="219"/>
      </w:pPr>
      <w:rPr>
        <w:rFonts w:hint="default"/>
        <w:lang w:val="en-US" w:eastAsia="en-US" w:bidi="en-US"/>
      </w:rPr>
    </w:lvl>
    <w:lvl w:ilvl="8" w:tplc="40428F44">
      <w:numFmt w:val="bullet"/>
      <w:lvlText w:val="•"/>
      <w:lvlJc w:val="left"/>
      <w:pPr>
        <w:ind w:left="3180" w:hanging="219"/>
      </w:pPr>
      <w:rPr>
        <w:rFonts w:hint="default"/>
        <w:lang w:val="en-US" w:eastAsia="en-US" w:bidi="en-US"/>
      </w:rPr>
    </w:lvl>
  </w:abstractNum>
  <w:abstractNum w:abstractNumId="15" w15:restartNumberingAfterBreak="0">
    <w:nsid w:val="74A35554"/>
    <w:multiLevelType w:val="hybridMultilevel"/>
    <w:tmpl w:val="825C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26845"/>
    <w:multiLevelType w:val="hybridMultilevel"/>
    <w:tmpl w:val="CBC4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C3B5B"/>
    <w:multiLevelType w:val="multilevel"/>
    <w:tmpl w:val="1040E0CA"/>
    <w:styleLink w:val="CurrentList1"/>
    <w:lvl w:ilvl="0">
      <w:start w:val="1"/>
      <w:numFmt w:val="bullet"/>
      <w:lvlText w:val=""/>
      <w:lvlJc w:val="left"/>
      <w:pPr>
        <w:ind w:left="1440" w:hanging="360"/>
      </w:pPr>
      <w:rPr>
        <w:rFonts w:ascii="Symbol" w:hAnsi="Symbol" w:hint="default"/>
        <w:color w:val="AB04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49829929">
    <w:abstractNumId w:val="15"/>
  </w:num>
  <w:num w:numId="2" w16cid:durableId="270628572">
    <w:abstractNumId w:val="9"/>
  </w:num>
  <w:num w:numId="3" w16cid:durableId="633756179">
    <w:abstractNumId w:val="3"/>
  </w:num>
  <w:num w:numId="4" w16cid:durableId="1212231924">
    <w:abstractNumId w:val="5"/>
  </w:num>
  <w:num w:numId="5" w16cid:durableId="1591431462">
    <w:abstractNumId w:val="1"/>
  </w:num>
  <w:num w:numId="6" w16cid:durableId="1217471485">
    <w:abstractNumId w:val="10"/>
  </w:num>
  <w:num w:numId="7" w16cid:durableId="901981702">
    <w:abstractNumId w:val="0"/>
  </w:num>
  <w:num w:numId="8" w16cid:durableId="987437699">
    <w:abstractNumId w:val="16"/>
  </w:num>
  <w:num w:numId="9" w16cid:durableId="101264724">
    <w:abstractNumId w:val="13"/>
  </w:num>
  <w:num w:numId="10" w16cid:durableId="757482490">
    <w:abstractNumId w:val="17"/>
  </w:num>
  <w:num w:numId="11" w16cid:durableId="1553350597">
    <w:abstractNumId w:val="13"/>
    <w:lvlOverride w:ilvl="0">
      <w:startOverride w:val="1"/>
    </w:lvlOverride>
  </w:num>
  <w:num w:numId="12" w16cid:durableId="1971936865">
    <w:abstractNumId w:val="4"/>
  </w:num>
  <w:num w:numId="13" w16cid:durableId="145440953">
    <w:abstractNumId w:val="8"/>
  </w:num>
  <w:num w:numId="14" w16cid:durableId="1329409401">
    <w:abstractNumId w:val="2"/>
  </w:num>
  <w:num w:numId="15" w16cid:durableId="1779639418">
    <w:abstractNumId w:val="6"/>
  </w:num>
  <w:num w:numId="16" w16cid:durableId="1480610900">
    <w:abstractNumId w:val="14"/>
  </w:num>
  <w:num w:numId="17" w16cid:durableId="1689716626">
    <w:abstractNumId w:val="11"/>
  </w:num>
  <w:num w:numId="18" w16cid:durableId="845747883">
    <w:abstractNumId w:val="7"/>
  </w:num>
  <w:num w:numId="19" w16cid:durableId="4003739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87"/>
    <w:rsid w:val="00027656"/>
    <w:rsid w:val="000319C6"/>
    <w:rsid w:val="00050113"/>
    <w:rsid w:val="0007189F"/>
    <w:rsid w:val="00087622"/>
    <w:rsid w:val="000A2EA4"/>
    <w:rsid w:val="00107EE1"/>
    <w:rsid w:val="0013177C"/>
    <w:rsid w:val="001508A6"/>
    <w:rsid w:val="00190353"/>
    <w:rsid w:val="001910CA"/>
    <w:rsid w:val="001B6498"/>
    <w:rsid w:val="001E0A95"/>
    <w:rsid w:val="001F1A1B"/>
    <w:rsid w:val="00224812"/>
    <w:rsid w:val="00266D26"/>
    <w:rsid w:val="002835AD"/>
    <w:rsid w:val="00296851"/>
    <w:rsid w:val="002B601E"/>
    <w:rsid w:val="002E64CF"/>
    <w:rsid w:val="00301B28"/>
    <w:rsid w:val="00304639"/>
    <w:rsid w:val="00317037"/>
    <w:rsid w:val="00320D73"/>
    <w:rsid w:val="00330161"/>
    <w:rsid w:val="00337542"/>
    <w:rsid w:val="00337732"/>
    <w:rsid w:val="003440C2"/>
    <w:rsid w:val="0034797A"/>
    <w:rsid w:val="0035511C"/>
    <w:rsid w:val="00364DE2"/>
    <w:rsid w:val="0037421D"/>
    <w:rsid w:val="00384A8B"/>
    <w:rsid w:val="003903F6"/>
    <w:rsid w:val="003C0357"/>
    <w:rsid w:val="003D33DF"/>
    <w:rsid w:val="003D52E6"/>
    <w:rsid w:val="003F25A1"/>
    <w:rsid w:val="003F5C43"/>
    <w:rsid w:val="004256AF"/>
    <w:rsid w:val="00445D56"/>
    <w:rsid w:val="0045241F"/>
    <w:rsid w:val="004748DE"/>
    <w:rsid w:val="004A3C4E"/>
    <w:rsid w:val="004F7525"/>
    <w:rsid w:val="00534E73"/>
    <w:rsid w:val="00544A35"/>
    <w:rsid w:val="00593B16"/>
    <w:rsid w:val="005A2C55"/>
    <w:rsid w:val="005C7200"/>
    <w:rsid w:val="005E669F"/>
    <w:rsid w:val="005F0529"/>
    <w:rsid w:val="005F2EA3"/>
    <w:rsid w:val="00604F2B"/>
    <w:rsid w:val="006054F6"/>
    <w:rsid w:val="00622F81"/>
    <w:rsid w:val="00624708"/>
    <w:rsid w:val="006350DD"/>
    <w:rsid w:val="006721C7"/>
    <w:rsid w:val="006B365B"/>
    <w:rsid w:val="006D3DEA"/>
    <w:rsid w:val="007008AC"/>
    <w:rsid w:val="00747380"/>
    <w:rsid w:val="0077697F"/>
    <w:rsid w:val="00781414"/>
    <w:rsid w:val="007B549D"/>
    <w:rsid w:val="007C0383"/>
    <w:rsid w:val="007F47BE"/>
    <w:rsid w:val="00836FA4"/>
    <w:rsid w:val="008444EE"/>
    <w:rsid w:val="008705AA"/>
    <w:rsid w:val="00887128"/>
    <w:rsid w:val="00887EBF"/>
    <w:rsid w:val="008A3C96"/>
    <w:rsid w:val="008E08A2"/>
    <w:rsid w:val="008F24B2"/>
    <w:rsid w:val="008F29F6"/>
    <w:rsid w:val="00904B47"/>
    <w:rsid w:val="00954AED"/>
    <w:rsid w:val="009715C2"/>
    <w:rsid w:val="00977DC8"/>
    <w:rsid w:val="0098110F"/>
    <w:rsid w:val="009B242B"/>
    <w:rsid w:val="009D22E8"/>
    <w:rsid w:val="009F3208"/>
    <w:rsid w:val="00A10753"/>
    <w:rsid w:val="00A454FD"/>
    <w:rsid w:val="00A87F48"/>
    <w:rsid w:val="00A95B87"/>
    <w:rsid w:val="00A96A25"/>
    <w:rsid w:val="00AA384F"/>
    <w:rsid w:val="00AB4451"/>
    <w:rsid w:val="00AE0CF9"/>
    <w:rsid w:val="00AF49EA"/>
    <w:rsid w:val="00B12508"/>
    <w:rsid w:val="00B145D9"/>
    <w:rsid w:val="00B374A2"/>
    <w:rsid w:val="00B44FC3"/>
    <w:rsid w:val="00B5460A"/>
    <w:rsid w:val="00B6554C"/>
    <w:rsid w:val="00BE1547"/>
    <w:rsid w:val="00C1383C"/>
    <w:rsid w:val="00C21CDF"/>
    <w:rsid w:val="00C360B2"/>
    <w:rsid w:val="00C4008F"/>
    <w:rsid w:val="00C5645B"/>
    <w:rsid w:val="00C64C42"/>
    <w:rsid w:val="00C849A2"/>
    <w:rsid w:val="00CA1FB5"/>
    <w:rsid w:val="00D37393"/>
    <w:rsid w:val="00D6109D"/>
    <w:rsid w:val="00E25E40"/>
    <w:rsid w:val="00E374BB"/>
    <w:rsid w:val="00E668C0"/>
    <w:rsid w:val="00ED1EA5"/>
    <w:rsid w:val="00EE53C8"/>
    <w:rsid w:val="00EE6BEF"/>
    <w:rsid w:val="00EF3566"/>
    <w:rsid w:val="00F0350F"/>
    <w:rsid w:val="00F25DE9"/>
    <w:rsid w:val="00F26589"/>
    <w:rsid w:val="00F63B69"/>
    <w:rsid w:val="00F83287"/>
    <w:rsid w:val="00FA19AD"/>
    <w:rsid w:val="00FA5838"/>
    <w:rsid w:val="00FB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EBD0"/>
  <w15:chartTrackingRefBased/>
  <w15:docId w15:val="{6E2B9D0D-250D-744B-A58C-724CF2C8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EA5"/>
    <w:pPr>
      <w:spacing w:after="120"/>
    </w:pPr>
  </w:style>
  <w:style w:type="paragraph" w:styleId="Heading1">
    <w:name w:val="heading 1"/>
    <w:basedOn w:val="Normal"/>
    <w:next w:val="Normal"/>
    <w:link w:val="Heading1Char"/>
    <w:uiPriority w:val="9"/>
    <w:qFormat/>
    <w:rsid w:val="00A95B87"/>
    <w:pPr>
      <w:keepNext/>
      <w:keepLines/>
      <w:spacing w:before="240"/>
      <w:outlineLvl w:val="0"/>
    </w:pPr>
    <w:rPr>
      <w:rFonts w:asciiTheme="majorHAnsi" w:eastAsiaTheme="majorEastAsia" w:hAnsiTheme="majorHAnsi" w:cstheme="majorBidi"/>
      <w:color w:val="0C234C"/>
      <w:sz w:val="28"/>
      <w:szCs w:val="32"/>
    </w:rPr>
  </w:style>
  <w:style w:type="paragraph" w:styleId="Heading2">
    <w:name w:val="heading 2"/>
    <w:basedOn w:val="Normal"/>
    <w:next w:val="Normal"/>
    <w:link w:val="Heading2Char"/>
    <w:uiPriority w:val="9"/>
    <w:unhideWhenUsed/>
    <w:qFormat/>
    <w:rsid w:val="00AB4451"/>
    <w:pPr>
      <w:keepNext/>
      <w:keepLines/>
      <w:spacing w:before="360"/>
      <w:outlineLvl w:val="1"/>
    </w:pPr>
    <w:rPr>
      <w:rFonts w:asciiTheme="majorHAnsi" w:eastAsiaTheme="majorEastAsia" w:hAnsiTheme="majorHAnsi" w:cstheme="majorBidi"/>
      <w:color w:val="0C234C"/>
      <w:sz w:val="28"/>
      <w:szCs w:val="26"/>
    </w:rPr>
  </w:style>
  <w:style w:type="paragraph" w:styleId="Heading3">
    <w:name w:val="heading 3"/>
    <w:basedOn w:val="Normal"/>
    <w:next w:val="Normal"/>
    <w:link w:val="Heading3Char"/>
    <w:uiPriority w:val="9"/>
    <w:unhideWhenUsed/>
    <w:qFormat/>
    <w:rsid w:val="00AB4451"/>
    <w:pPr>
      <w:keepNext/>
      <w:keepLines/>
      <w:spacing w:before="240"/>
      <w:outlineLvl w:val="2"/>
    </w:pPr>
    <w:rPr>
      <w:rFonts w:asciiTheme="majorHAnsi" w:eastAsiaTheme="majorEastAsia" w:hAnsiTheme="majorHAnsi" w:cstheme="majorBidi"/>
      <w:color w:val="0C234C"/>
      <w:sz w:val="26"/>
    </w:rPr>
  </w:style>
  <w:style w:type="paragraph" w:styleId="Heading4">
    <w:name w:val="heading 4"/>
    <w:basedOn w:val="Normal"/>
    <w:next w:val="Normal"/>
    <w:link w:val="Heading4Char"/>
    <w:uiPriority w:val="9"/>
    <w:unhideWhenUsed/>
    <w:qFormat/>
    <w:rsid w:val="00A87F48"/>
    <w:pPr>
      <w:keepNext/>
      <w:keepLines/>
      <w:spacing w:before="40"/>
      <w:outlineLvl w:val="3"/>
    </w:pPr>
    <w:rPr>
      <w:rFonts w:asciiTheme="majorHAnsi" w:eastAsiaTheme="majorEastAsia" w:hAnsiTheme="majorHAnsi" w:cstheme="majorBidi"/>
      <w:iCs/>
      <w:color w:val="0C234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B87"/>
    <w:pPr>
      <w:tabs>
        <w:tab w:val="center" w:pos="4680"/>
        <w:tab w:val="right" w:pos="9360"/>
      </w:tabs>
    </w:pPr>
  </w:style>
  <w:style w:type="character" w:customStyle="1" w:styleId="HeaderChar">
    <w:name w:val="Header Char"/>
    <w:basedOn w:val="DefaultParagraphFont"/>
    <w:link w:val="Header"/>
    <w:uiPriority w:val="99"/>
    <w:rsid w:val="00A95B87"/>
  </w:style>
  <w:style w:type="paragraph" w:styleId="Footer">
    <w:name w:val="footer"/>
    <w:basedOn w:val="Normal"/>
    <w:link w:val="FooterChar"/>
    <w:uiPriority w:val="99"/>
    <w:unhideWhenUsed/>
    <w:rsid w:val="00A95B87"/>
    <w:pPr>
      <w:tabs>
        <w:tab w:val="center" w:pos="4680"/>
        <w:tab w:val="right" w:pos="9360"/>
      </w:tabs>
    </w:pPr>
  </w:style>
  <w:style w:type="character" w:customStyle="1" w:styleId="FooterChar">
    <w:name w:val="Footer Char"/>
    <w:basedOn w:val="DefaultParagraphFont"/>
    <w:link w:val="Footer"/>
    <w:uiPriority w:val="99"/>
    <w:rsid w:val="00A95B87"/>
  </w:style>
  <w:style w:type="character" w:customStyle="1" w:styleId="Heading1Char">
    <w:name w:val="Heading 1 Char"/>
    <w:basedOn w:val="DefaultParagraphFont"/>
    <w:link w:val="Heading1"/>
    <w:uiPriority w:val="9"/>
    <w:rsid w:val="00A95B87"/>
    <w:rPr>
      <w:rFonts w:asciiTheme="majorHAnsi" w:eastAsiaTheme="majorEastAsia" w:hAnsiTheme="majorHAnsi" w:cstheme="majorBidi"/>
      <w:color w:val="0C234C"/>
      <w:sz w:val="28"/>
      <w:szCs w:val="32"/>
    </w:rPr>
  </w:style>
  <w:style w:type="paragraph" w:styleId="Title">
    <w:name w:val="Title"/>
    <w:basedOn w:val="Normal"/>
    <w:next w:val="Normal"/>
    <w:link w:val="TitleChar"/>
    <w:uiPriority w:val="10"/>
    <w:qFormat/>
    <w:rsid w:val="00A95B87"/>
    <w:pPr>
      <w:contextualSpacing/>
    </w:pPr>
    <w:rPr>
      <w:rFonts w:asciiTheme="majorHAnsi" w:eastAsiaTheme="majorEastAsia" w:hAnsiTheme="majorHAnsi" w:cstheme="majorBidi"/>
      <w:color w:val="0C234C"/>
      <w:spacing w:val="-10"/>
      <w:kern w:val="28"/>
      <w:sz w:val="32"/>
      <w:szCs w:val="56"/>
    </w:rPr>
  </w:style>
  <w:style w:type="character" w:customStyle="1" w:styleId="TitleChar">
    <w:name w:val="Title Char"/>
    <w:basedOn w:val="DefaultParagraphFont"/>
    <w:link w:val="Title"/>
    <w:uiPriority w:val="10"/>
    <w:rsid w:val="00A95B87"/>
    <w:rPr>
      <w:rFonts w:asciiTheme="majorHAnsi" w:eastAsiaTheme="majorEastAsia" w:hAnsiTheme="majorHAnsi" w:cstheme="majorBidi"/>
      <w:color w:val="0C234C"/>
      <w:spacing w:val="-10"/>
      <w:kern w:val="28"/>
      <w:sz w:val="32"/>
      <w:szCs w:val="56"/>
    </w:rPr>
  </w:style>
  <w:style w:type="paragraph" w:styleId="ListParagraph">
    <w:name w:val="List Paragraph"/>
    <w:basedOn w:val="Normal"/>
    <w:uiPriority w:val="34"/>
    <w:qFormat/>
    <w:rsid w:val="00C5645B"/>
    <w:pPr>
      <w:numPr>
        <w:numId w:val="9"/>
      </w:numPr>
      <w:contextualSpacing/>
    </w:pPr>
  </w:style>
  <w:style w:type="paragraph" w:customStyle="1" w:styleId="Notes">
    <w:name w:val="Notes"/>
    <w:basedOn w:val="Normal"/>
    <w:qFormat/>
    <w:rsid w:val="00C5645B"/>
    <w:rPr>
      <w:i/>
      <w:color w:val="FF0000"/>
    </w:rPr>
  </w:style>
  <w:style w:type="character" w:customStyle="1" w:styleId="Heading2Char">
    <w:name w:val="Heading 2 Char"/>
    <w:basedOn w:val="DefaultParagraphFont"/>
    <w:link w:val="Heading2"/>
    <w:uiPriority w:val="9"/>
    <w:rsid w:val="00AB4451"/>
    <w:rPr>
      <w:rFonts w:asciiTheme="majorHAnsi" w:eastAsiaTheme="majorEastAsia" w:hAnsiTheme="majorHAnsi" w:cstheme="majorBidi"/>
      <w:color w:val="0C234C"/>
      <w:sz w:val="28"/>
      <w:szCs w:val="26"/>
    </w:rPr>
  </w:style>
  <w:style w:type="character" w:styleId="CommentReference">
    <w:name w:val="annotation reference"/>
    <w:basedOn w:val="DefaultParagraphFont"/>
    <w:uiPriority w:val="99"/>
    <w:semiHidden/>
    <w:unhideWhenUsed/>
    <w:rsid w:val="00337542"/>
    <w:rPr>
      <w:sz w:val="16"/>
      <w:szCs w:val="16"/>
    </w:rPr>
  </w:style>
  <w:style w:type="paragraph" w:styleId="CommentText">
    <w:name w:val="annotation text"/>
    <w:basedOn w:val="Normal"/>
    <w:link w:val="CommentTextChar"/>
    <w:uiPriority w:val="99"/>
    <w:unhideWhenUsed/>
    <w:rsid w:val="00337542"/>
    <w:rPr>
      <w:sz w:val="20"/>
      <w:szCs w:val="20"/>
    </w:rPr>
  </w:style>
  <w:style w:type="character" w:customStyle="1" w:styleId="CommentTextChar">
    <w:name w:val="Comment Text Char"/>
    <w:basedOn w:val="DefaultParagraphFont"/>
    <w:link w:val="CommentText"/>
    <w:uiPriority w:val="99"/>
    <w:rsid w:val="00337542"/>
    <w:rPr>
      <w:sz w:val="20"/>
      <w:szCs w:val="20"/>
    </w:rPr>
  </w:style>
  <w:style w:type="paragraph" w:styleId="CommentSubject">
    <w:name w:val="annotation subject"/>
    <w:basedOn w:val="CommentText"/>
    <w:next w:val="CommentText"/>
    <w:link w:val="CommentSubjectChar"/>
    <w:uiPriority w:val="99"/>
    <w:semiHidden/>
    <w:unhideWhenUsed/>
    <w:rsid w:val="00337542"/>
    <w:rPr>
      <w:b/>
      <w:bCs/>
    </w:rPr>
  </w:style>
  <w:style w:type="character" w:customStyle="1" w:styleId="CommentSubjectChar">
    <w:name w:val="Comment Subject Char"/>
    <w:basedOn w:val="CommentTextChar"/>
    <w:link w:val="CommentSubject"/>
    <w:uiPriority w:val="99"/>
    <w:semiHidden/>
    <w:rsid w:val="00337542"/>
    <w:rPr>
      <w:b/>
      <w:bCs/>
      <w:sz w:val="20"/>
      <w:szCs w:val="20"/>
    </w:rPr>
  </w:style>
  <w:style w:type="table" w:styleId="TableGrid">
    <w:name w:val="Table Grid"/>
    <w:basedOn w:val="TableNormal"/>
    <w:uiPriority w:val="39"/>
    <w:rsid w:val="0034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4797A"/>
    <w:rPr>
      <w:color w:val="0563C1"/>
      <w:u w:val="single"/>
    </w:rPr>
  </w:style>
  <w:style w:type="paragraph" w:customStyle="1" w:styleId="SylNormal">
    <w:name w:val="Syl Normal"/>
    <w:basedOn w:val="Normal"/>
    <w:rsid w:val="0034797A"/>
    <w:pPr>
      <w:numPr>
        <w:numId w:val="6"/>
      </w:numPr>
    </w:pPr>
    <w:rPr>
      <w:rFonts w:ascii="Calibri" w:eastAsia="Times New Roman" w:hAnsi="Calibri" w:cs="Calibri"/>
      <w:sz w:val="22"/>
      <w:szCs w:val="22"/>
    </w:rPr>
  </w:style>
  <w:style w:type="paragraph" w:customStyle="1" w:styleId="SylNorm1">
    <w:name w:val="Syl Norm1"/>
    <w:basedOn w:val="Normal"/>
    <w:link w:val="SylNorm1Char"/>
    <w:rsid w:val="0034797A"/>
    <w:rPr>
      <w:rFonts w:ascii="Calibri" w:eastAsia="Times New Roman" w:hAnsi="Calibri" w:cs="Calibri"/>
      <w:sz w:val="22"/>
      <w:szCs w:val="22"/>
    </w:rPr>
  </w:style>
  <w:style w:type="character" w:customStyle="1" w:styleId="SylNorm1Char">
    <w:name w:val="Syl Norm1 Char"/>
    <w:basedOn w:val="DefaultParagraphFont"/>
    <w:link w:val="SylNorm1"/>
    <w:rsid w:val="0034797A"/>
    <w:rPr>
      <w:rFonts w:ascii="Calibri" w:eastAsia="Times New Roman" w:hAnsi="Calibri" w:cs="Calibri"/>
      <w:sz w:val="22"/>
      <w:szCs w:val="22"/>
    </w:rPr>
  </w:style>
  <w:style w:type="paragraph" w:customStyle="1" w:styleId="SylNorm">
    <w:name w:val="Syl Norm"/>
    <w:basedOn w:val="Normal"/>
    <w:link w:val="SylNormChar"/>
    <w:rsid w:val="0034797A"/>
    <w:pPr>
      <w:tabs>
        <w:tab w:val="num" w:pos="720"/>
      </w:tabs>
      <w:ind w:left="720" w:hanging="360"/>
    </w:pPr>
    <w:rPr>
      <w:rFonts w:ascii="Calibri" w:eastAsia="Times New Roman" w:hAnsi="Calibri" w:cs="Calibri"/>
      <w:sz w:val="22"/>
      <w:szCs w:val="22"/>
    </w:rPr>
  </w:style>
  <w:style w:type="character" w:customStyle="1" w:styleId="SylNormChar">
    <w:name w:val="Syl Norm Char"/>
    <w:basedOn w:val="DefaultParagraphFont"/>
    <w:link w:val="SylNorm"/>
    <w:rsid w:val="0034797A"/>
    <w:rPr>
      <w:rFonts w:ascii="Calibri" w:eastAsia="Times New Roman" w:hAnsi="Calibri" w:cs="Calibri"/>
      <w:sz w:val="22"/>
      <w:szCs w:val="22"/>
    </w:rPr>
  </w:style>
  <w:style w:type="character" w:customStyle="1" w:styleId="Heading3Char">
    <w:name w:val="Heading 3 Char"/>
    <w:basedOn w:val="DefaultParagraphFont"/>
    <w:link w:val="Heading3"/>
    <w:uiPriority w:val="9"/>
    <w:rsid w:val="00AB4451"/>
    <w:rPr>
      <w:rFonts w:asciiTheme="majorHAnsi" w:eastAsiaTheme="majorEastAsia" w:hAnsiTheme="majorHAnsi" w:cstheme="majorBidi"/>
      <w:color w:val="0C234C"/>
      <w:sz w:val="26"/>
    </w:rPr>
  </w:style>
  <w:style w:type="character" w:styleId="UnresolvedMention">
    <w:name w:val="Unresolved Mention"/>
    <w:basedOn w:val="DefaultParagraphFont"/>
    <w:uiPriority w:val="99"/>
    <w:semiHidden/>
    <w:unhideWhenUsed/>
    <w:rsid w:val="00E668C0"/>
    <w:rPr>
      <w:color w:val="605E5C"/>
      <w:shd w:val="clear" w:color="auto" w:fill="E1DFDD"/>
    </w:rPr>
  </w:style>
  <w:style w:type="character" w:customStyle="1" w:styleId="Heading4Char">
    <w:name w:val="Heading 4 Char"/>
    <w:basedOn w:val="DefaultParagraphFont"/>
    <w:link w:val="Heading4"/>
    <w:uiPriority w:val="9"/>
    <w:rsid w:val="00A87F48"/>
    <w:rPr>
      <w:rFonts w:asciiTheme="majorHAnsi" w:eastAsiaTheme="majorEastAsia" w:hAnsiTheme="majorHAnsi" w:cstheme="majorBidi"/>
      <w:iCs/>
      <w:color w:val="0C234C"/>
    </w:rPr>
  </w:style>
  <w:style w:type="paragraph" w:customStyle="1" w:styleId="TableH4">
    <w:name w:val="Table H4"/>
    <w:basedOn w:val="Heading4"/>
    <w:qFormat/>
    <w:rsid w:val="00EE53C8"/>
    <w:rPr>
      <w:color w:val="FFFFFF" w:themeColor="background1"/>
    </w:rPr>
  </w:style>
  <w:style w:type="paragraph" w:styleId="Revision">
    <w:name w:val="Revision"/>
    <w:hidden/>
    <w:uiPriority w:val="99"/>
    <w:semiHidden/>
    <w:rsid w:val="0013177C"/>
  </w:style>
  <w:style w:type="character" w:styleId="FollowedHyperlink">
    <w:name w:val="FollowedHyperlink"/>
    <w:basedOn w:val="DefaultParagraphFont"/>
    <w:uiPriority w:val="99"/>
    <w:semiHidden/>
    <w:unhideWhenUsed/>
    <w:rsid w:val="00320D73"/>
    <w:rPr>
      <w:color w:val="954F72" w:themeColor="followedHyperlink"/>
      <w:u w:val="single"/>
    </w:rPr>
  </w:style>
  <w:style w:type="paragraph" w:styleId="NoSpacing">
    <w:name w:val="No Spacing"/>
    <w:uiPriority w:val="1"/>
    <w:qFormat/>
    <w:rsid w:val="00622F81"/>
  </w:style>
  <w:style w:type="numbering" w:customStyle="1" w:styleId="CurrentList1">
    <w:name w:val="Current List1"/>
    <w:uiPriority w:val="99"/>
    <w:rsid w:val="005F2EA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ing.arizona.edu/osa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gistrar.arizona.edu/faculty-staff-resources/room-class-scheduling/schedule-classes/final-exams" TargetMode="External"/><Relationship Id="rId12" Type="http://schemas.openxmlformats.org/officeDocument/2006/relationships/hyperlink" Target="https://deanofstudents.arizona.edu/policies/code-academic-integr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c.arizona.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ursing.arizona.edu/resources/dnp-handbooks-guides" TargetMode="External"/><Relationship Id="rId4" Type="http://schemas.openxmlformats.org/officeDocument/2006/relationships/webSettings" Target="webSettings.xml"/><Relationship Id="rId9" Type="http://schemas.openxmlformats.org/officeDocument/2006/relationships/hyperlink" Target="https://catalog.arizona.edu/syllabus-polici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Camden E - (chardy)</dc:creator>
  <cp:keywords/>
  <dc:description/>
  <cp:lastModifiedBy>Davis, Madelyn - (madelyndavis)</cp:lastModifiedBy>
  <cp:revision>15</cp:revision>
  <dcterms:created xsi:type="dcterms:W3CDTF">2024-05-23T03:23:00Z</dcterms:created>
  <dcterms:modified xsi:type="dcterms:W3CDTF">2025-02-25T20:54:00Z</dcterms:modified>
</cp:coreProperties>
</file>